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ackground w:color="ffffff">
    <v:background id="_x0000_s1025" filled="t" fillcolor="white"/>
  </w:background>
  <w:body>
    <w:p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4833842</wp:posOffset>
            </wp:positionH>
            <wp:positionV relativeFrom="paragraph">
              <wp:posOffset>5239</wp:posOffset>
            </wp:positionV>
            <wp:extent cx="1051465" cy="1341977"/>
            <wp:wrapNone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1465" cy="1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F0"/>
          <w:sz w:val="20"/>
        </w:rPr>
        <w:t>1 January 2016 (Date LOG issued)</w:t>
      </w:r>
    </w:p>
    <w:p/>
    <w:p>
      <w:r>
        <w:rPr>
          <w:sz w:val="20"/>
        </w:rPr>
        <w:t xml:space="preserve">The Business Office </w:t>
      </w:r>
    </w:p>
    <w:p>
      <w:r>
        <w:fldChar w:fldCharType="begin"/>
      </w:r>
      <w:r>
        <w:instrText>MERGEFIELD «Accounts_Hospital_admitted»</w:instrText>
      </w:r>
      <w:r>
        <w:fldChar w:fldCharType="separate"/>
      </w:r>
      <w:r>
        <w:rPr>
          <w:b/>
          <w:color w:val="00B0F0"/>
          <w:sz w:val="20"/>
        </w:rPr>
        <w:t>«Accounts_Hospital_admitted»</w:t>
      </w:r>
      <w:r>
        <w:fldChar w:fldCharType="end"/>
      </w:r>
    </w:p>
    <w:p>
      <w:r>
        <w:rPr>
          <w:color w:val="00B0F0"/>
          <w:sz w:val="20"/>
        </w:rPr>
        <w:t>Address of hospital (Hospital Address)</w:t>
      </w:r>
    </w:p>
    <w:p>
      <w:r>
        <w:tab/>
      </w:r>
      <w:r>
        <w:tab/>
      </w:r>
      <w:r>
        <w:tab/>
      </w:r>
      <w:r>
        <w:tab/>
      </w:r>
    </w:p>
    <w:p>
      <w:pPr>
        <w:ind w:left="0" w:right="-346" w:hanging="360"/>
      </w:pPr>
    </w:p>
    <w:p>
      <w:pPr>
        <w:jc w:val="both"/>
      </w:pPr>
      <w:r>
        <w:rPr>
          <w:sz w:val="20"/>
        </w:rPr>
        <w:t>Dear Sirs/</w:t>
      </w:r>
      <w:r>
        <w:rPr>
          <w:sz w:val="20"/>
        </w:rPr>
        <w:t>Mdm</w:t>
      </w:r>
    </w:p>
    <w:p>
      <w:pPr>
        <w:jc w:val="both"/>
      </w:pPr>
    </w:p>
    <w:p/>
    <w:tbl>
      <w:tblPr>
        <w:tblW w:w="9490" w:type="dxa"/>
        <w:tblBorders>
          <w:top w:val="single" w:sz="6" w:space="0" w:color="A6A6A6"/>
          <w:left w:val="single" w:sz="0" w:space="0" w:color="FFFFFF"/>
          <w:bottom w:val="single" w:sz="6" w:space="0" w:color="A6A6A6"/>
          <w:right w:val="single" w:sz="6" w:space="0" w:color="A6A6A6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2823"/>
        <w:gridCol w:w="6667"/>
      </w:tblGrid>
      <w:tr>
        <w:tblPrEx>
          <w:tblW w:w="9490" w:type="dxa"/>
          <w:tblBorders>
            <w:top w:val="single" w:sz="6" w:space="0" w:color="A6A6A6"/>
            <w:left w:val="single" w:sz="0" w:space="0" w:color="FFFFFF"/>
            <w:bottom w:val="single" w:sz="6" w:space="0" w:color="A6A6A6"/>
            <w:right w:val="single" w:sz="6" w:space="0" w:color="A6A6A6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b/>
                <w:sz w:val="20"/>
              </w:rPr>
              <w:t>PATIENT:</w:t>
            </w:r>
          </w:p>
        </w:tc>
        <w:tc>
          <w:tcPr>
            <w:tcW w:w="66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>MERGEFIELD «Accounts_Accounts_Name»</w:instrText>
            </w:r>
            <w:r>
              <w:fldChar w:fldCharType="separate"/>
            </w:r>
            <w:r>
              <w:rPr>
                <w:color w:val="00B0F0"/>
                <w:sz w:val="20"/>
              </w:rPr>
              <w:t>«Accounts_Accounts_Name»</w:t>
            </w:r>
            <w:r>
              <w:fldChar w:fldCharType="end"/>
            </w:r>
          </w:p>
        </w:tc>
      </w:tr>
      <w:tr>
        <w:tblPrEx>
          <w:tblW w:w="949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82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b/>
                <w:sz w:val="20"/>
              </w:rPr>
              <w:t>DOB:</w:t>
            </w:r>
          </w:p>
        </w:tc>
        <w:tc>
          <w:tcPr>
            <w:tcW w:w="66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>MERGEFIELD «Accounts_Date_of_birth»</w:instrText>
            </w:r>
            <w:r>
              <w:fldChar w:fldCharType="separate"/>
            </w:r>
            <w:r>
              <w:rPr>
                <w:color w:val="00B0F0"/>
                <w:sz w:val="20"/>
                <w:u w:val="single"/>
              </w:rPr>
              <w:t>«Accounts_Date_of_birth»</w:t>
            </w:r>
            <w:r>
              <w:fldChar w:fldCharType="end"/>
            </w:r>
          </w:p>
        </w:tc>
      </w:tr>
      <w:tr>
        <w:tblPrEx>
          <w:tblW w:w="949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82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b/>
                <w:sz w:val="20"/>
              </w:rPr>
              <w:t>ADMISSION:</w:t>
            </w:r>
          </w:p>
        </w:tc>
        <w:tc>
          <w:tcPr>
            <w:tcW w:w="66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>MERGEFIELD «Accounts_Date_of_admission»</w:instrText>
            </w:r>
            <w:r>
              <w:fldChar w:fldCharType="separate"/>
            </w:r>
            <w:r>
              <w:rPr>
                <w:color w:val="00B0F0"/>
                <w:sz w:val="20"/>
                <w:u w:val="single"/>
              </w:rPr>
              <w:t>«Accounts_Date_of_admission»</w:t>
            </w:r>
            <w:r>
              <w:fldChar w:fldCharType="end"/>
            </w:r>
          </w:p>
        </w:tc>
      </w:tr>
      <w:tr>
        <w:tblPrEx>
          <w:tblW w:w="949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82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b/>
                <w:sz w:val="20"/>
              </w:rPr>
              <w:t>ATTENDING DOCTOR:</w:t>
            </w:r>
          </w:p>
        </w:tc>
        <w:tc>
          <w:tcPr>
            <w:tcW w:w="66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>MERGEFIELD «Accounts_Doctor»</w:instrText>
            </w:r>
            <w:r>
              <w:fldChar w:fldCharType="separate"/>
            </w:r>
            <w:r>
              <w:rPr>
                <w:color w:val="00B0F0"/>
                <w:sz w:val="20"/>
                <w:u w:val="single"/>
              </w:rPr>
              <w:t>«Accounts_Doctor»</w:t>
            </w:r>
            <w:r>
              <w:fldChar w:fldCharType="end"/>
            </w:r>
          </w:p>
        </w:tc>
      </w:tr>
      <w:tr>
        <w:tblPrEx>
          <w:tblW w:w="949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82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b/>
                <w:sz w:val="20"/>
              </w:rPr>
              <w:t>DIAGNOSIS</w:t>
            </w:r>
            <w:r>
              <w:rPr>
                <w:b/>
                <w:sz w:val="20"/>
              </w:rPr>
              <w:t>/PROCEDURE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66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color w:val="00B0F0"/>
                <w:sz w:val="20"/>
                <w:u w:val="single"/>
              </w:rPr>
              <w:t>XXXXX (Diagnosis that this LOG covers, it can be more than 1 diagnosis)</w:t>
            </w:r>
          </w:p>
        </w:tc>
      </w:tr>
    </w:tbl>
    <w:p/>
    <w:p>
      <w:pPr>
        <w:jc w:val="both"/>
      </w:pPr>
      <w:r>
        <w:rPr>
          <w:sz w:val="20"/>
        </w:rPr>
        <w:t xml:space="preserve">Ulink Assist </w:t>
      </w:r>
      <w:r>
        <w:rPr>
          <w:sz w:val="20"/>
        </w:rPr>
        <w:t>Pte</w:t>
      </w:r>
      <w:r>
        <w:rPr>
          <w:sz w:val="20"/>
        </w:rPr>
        <w:t xml:space="preserve"> Ltd hereby undertakes to pay the medical and hospitalization expenses incurred by the above-named patient during the subject admission as per following terms:</w:t>
      </w:r>
    </w:p>
    <w:p>
      <w:pPr>
        <w:jc w:val="both"/>
      </w:pPr>
    </w:p>
    <w:p>
      <w:pPr>
        <w:numPr>
          <w:ilvl w:val="0"/>
          <w:numId w:val="1"/>
        </w:numPr>
        <w:tabs>
          <w:tab w:val="left" w:pos="720"/>
        </w:tabs>
        <w:ind w:left="720" w:hanging="360"/>
        <w:jc w:val="both"/>
      </w:pPr>
      <w:r>
        <w:rPr>
          <w:sz w:val="20"/>
        </w:rPr>
        <w:t>Coverage is for *</w:t>
      </w:r>
      <w:r>
        <w:rPr>
          <w:color w:val="00B0F0"/>
          <w:sz w:val="20"/>
        </w:rPr>
        <w:t xml:space="preserve">Lowest Standard Single, Double, 4-bedded, 6-bedded (delete accordingly) </w:t>
      </w:r>
      <w:r>
        <w:rPr>
          <w:sz w:val="20"/>
        </w:rPr>
        <w:t xml:space="preserve">Room </w:t>
      </w:r>
    </w:p>
    <w:p>
      <w:pPr>
        <w:numPr>
          <w:ilvl w:val="0"/>
          <w:numId w:val="1"/>
        </w:numPr>
        <w:tabs>
          <w:tab w:val="left" w:pos="720"/>
        </w:tabs>
        <w:ind w:left="720" w:hanging="360"/>
        <w:jc w:val="both"/>
      </w:pPr>
      <w:r>
        <w:rPr>
          <w:sz w:val="20"/>
        </w:rPr>
        <w:t xml:space="preserve">Amount covered is up to SGD </w:t>
      </w:r>
      <w:r>
        <w:rPr>
          <w:color w:val="00B0F0"/>
          <w:sz w:val="20"/>
        </w:rPr>
        <w:t xml:space="preserve">XXXX (Amount of the LOG you want to cover) </w:t>
      </w:r>
      <w:r>
        <w:rPr>
          <w:sz w:val="20"/>
        </w:rPr>
        <w:t>only</w:t>
      </w:r>
    </w:p>
    <w:p>
      <w:pPr>
        <w:numPr>
          <w:ilvl w:val="0"/>
          <w:numId w:val="1"/>
        </w:numPr>
        <w:tabs>
          <w:tab w:val="left" w:pos="720"/>
        </w:tabs>
        <w:ind w:left="720" w:hanging="360"/>
        <w:jc w:val="both"/>
      </w:pPr>
      <w:r>
        <w:rPr>
          <w:color w:val="00B0F0"/>
          <w:sz w:val="20"/>
        </w:rPr>
        <w:t>*Patient will have to pay the policy excess of SGD XXXX. Kindly collect from the patient</w:t>
      </w:r>
      <w:r>
        <w:rPr>
          <w:sz w:val="20"/>
        </w:rPr>
        <w:t>.</w:t>
      </w:r>
      <w:r>
        <w:rPr>
          <w:color w:val="00B0F0"/>
          <w:sz w:val="20"/>
        </w:rPr>
        <w:t xml:space="preserve"> (Please delete if not related to admission)</w:t>
      </w:r>
    </w:p>
    <w:p>
      <w:pPr>
        <w:numPr>
          <w:ilvl w:val="0"/>
          <w:numId w:val="1"/>
        </w:numPr>
        <w:tabs>
          <w:tab w:val="left" w:pos="720"/>
        </w:tabs>
        <w:ind w:left="720" w:hanging="360"/>
        <w:jc w:val="both"/>
      </w:pPr>
      <w:r>
        <w:rPr>
          <w:color w:val="00B0F0"/>
          <w:sz w:val="20"/>
        </w:rPr>
        <w:t>*Patient will have a co-insurance of XX%. Kindly collect from the patient. (Please delete if not related to admission)</w:t>
      </w:r>
    </w:p>
    <w:p>
      <w:pPr>
        <w:numPr>
          <w:ilvl w:val="0"/>
          <w:numId w:val="1"/>
        </w:numPr>
        <w:tabs>
          <w:tab w:val="left" w:pos="720"/>
        </w:tabs>
        <w:ind w:left="720" w:hanging="360"/>
        <w:jc w:val="both"/>
      </w:pPr>
      <w:r>
        <w:rPr>
          <w:color w:val="00B0F0"/>
          <w:sz w:val="20"/>
        </w:rPr>
        <w:t>*The following items are not coverable under the policy, kindly collect from the patient: (Please delete if not related to admission)</w:t>
      </w:r>
    </w:p>
    <w:p>
      <w:pPr>
        <w:ind w:left="720"/>
        <w:jc w:val="both"/>
      </w:pPr>
    </w:p>
    <w:tbl>
      <w:tblPr>
        <w:tblW w:w="8525" w:type="dxa"/>
        <w:tblInd w:w="72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277"/>
        <w:gridCol w:w="4248"/>
      </w:tblGrid>
      <w:tr>
        <w:tblPrEx>
          <w:tblW w:w="8525" w:type="dxa"/>
          <w:tblInd w:w="720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  <w:jc w:val="both"/>
            </w:pPr>
            <w:r>
              <w:rPr>
                <w:color w:val="00B0F0"/>
                <w:sz w:val="20"/>
              </w:rPr>
              <w:t>Name of Medication</w:t>
            </w:r>
          </w:p>
        </w:tc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  <w:jc w:val="both"/>
            </w:pPr>
            <w:r>
              <w:rPr>
                <w:color w:val="00B0F0"/>
                <w:sz w:val="20"/>
              </w:rPr>
              <w:t>Cost</w:t>
            </w:r>
          </w:p>
        </w:tc>
      </w:tr>
      <w:tr>
        <w:tblPrEx>
          <w:tblW w:w="8525" w:type="dxa"/>
          <w:tblInd w:w="72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  <w:jc w:val="both"/>
            </w:pPr>
            <w:r>
              <w:rPr>
                <w:color w:val="00B0F0"/>
                <w:sz w:val="20"/>
              </w:rPr>
              <w:t>XXXX</w:t>
            </w:r>
          </w:p>
        </w:tc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  <w:jc w:val="both"/>
            </w:pPr>
            <w:r>
              <w:rPr>
                <w:color w:val="00B0F0"/>
                <w:sz w:val="20"/>
              </w:rPr>
              <w:t>XXXX</w:t>
            </w:r>
          </w:p>
        </w:tc>
      </w:tr>
      <w:tr>
        <w:tblPrEx>
          <w:tblW w:w="8525" w:type="dxa"/>
          <w:tblInd w:w="720" w:type="dxa"/>
          <w:tblLayout w:type="fixed"/>
          <w:tblCellMar>
            <w:left w:w="108" w:type="dxa"/>
            <w:right w:w="108" w:type="dxa"/>
          </w:tblCellMar>
        </w:tblPrEx>
        <w:tc>
          <w:tcPr>
            <w:tcW w:w="4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  <w:jc w:val="both"/>
            </w:pPr>
            <w:r>
              <w:rPr>
                <w:color w:val="00B0F0"/>
                <w:sz w:val="20"/>
              </w:rPr>
              <w:t>Total</w:t>
            </w:r>
          </w:p>
        </w:tc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top"/>
          </w:tcPr>
          <w:p>
            <w:pPr>
              <w:spacing w:after="0" w:line="240" w:lineRule="auto"/>
              <w:jc w:val="both"/>
            </w:pPr>
            <w:r>
              <w:rPr>
                <w:color w:val="00B0F0"/>
                <w:sz w:val="20"/>
              </w:rPr>
              <w:t>XXXX</w:t>
            </w:r>
          </w:p>
        </w:tc>
      </w:tr>
    </w:tbl>
    <w:p>
      <w:pPr>
        <w:jc w:val="both"/>
      </w:pPr>
    </w:p>
    <w:p>
      <w:pPr>
        <w:numPr>
          <w:ilvl w:val="0"/>
          <w:numId w:val="1"/>
        </w:numPr>
        <w:tabs>
          <w:tab w:val="left" w:pos="720"/>
        </w:tabs>
        <w:ind w:left="720" w:hanging="360"/>
        <w:jc w:val="both"/>
      </w:pPr>
      <w:r>
        <w:rPr>
          <w:sz w:val="20"/>
        </w:rPr>
        <w:t xml:space="preserve">Coverage is for above diagnosis only. </w:t>
      </w:r>
      <w:r>
        <w:rPr>
          <w:sz w:val="20"/>
        </w:rPr>
        <w:t>Any c</w:t>
      </w:r>
      <w:r>
        <w:rPr>
          <w:sz w:val="20"/>
        </w:rPr>
        <w:t xml:space="preserve">hange of diagnosis </w:t>
      </w:r>
      <w:r>
        <w:rPr>
          <w:sz w:val="20"/>
        </w:rPr>
        <w:t xml:space="preserve">or further extension of coverage requires separate approval, </w:t>
      </w:r>
      <w:r>
        <w:rPr>
          <w:sz w:val="20"/>
        </w:rPr>
        <w:t>kindly provide us an up-to-</w:t>
      </w:r>
      <w:r>
        <w:rPr>
          <w:sz w:val="20"/>
        </w:rPr>
        <w:t>date medical report and hospital expenses (including doctor’s fee).</w:t>
      </w:r>
    </w:p>
    <w:p>
      <w:pPr>
        <w:jc w:val="both"/>
      </w:pPr>
    </w:p>
    <w:p>
      <w:pPr>
        <w:jc w:val="both"/>
      </w:pPr>
      <w:r>
        <w:rPr>
          <w:sz w:val="20"/>
        </w:rPr>
        <w:t xml:space="preserve">Non-medical expenses such as video rental, medical aids </w:t>
      </w:r>
      <w:r>
        <w:rPr>
          <w:sz w:val="20"/>
        </w:rPr>
        <w:t>eg</w:t>
      </w:r>
      <w:r>
        <w:rPr>
          <w:sz w:val="20"/>
        </w:rPr>
        <w:t xml:space="preserve">: crutches / lumbar corset / neck brace; additional meals; lodger’s accommodation/meals; OTC drugs; telephone costs; incidentals  </w:t>
      </w:r>
      <w:r>
        <w:rPr>
          <w:sz w:val="20"/>
        </w:rPr>
        <w:t>eg</w:t>
      </w:r>
      <w:r>
        <w:rPr>
          <w:sz w:val="20"/>
        </w:rPr>
        <w:t>: tissue and wet wipes / cup with lid used in ICU; and follow-up outpatient treatment are not guaranteed under this letter.</w:t>
      </w:r>
    </w:p>
    <w:p>
      <w:pPr>
        <w:jc w:val="both"/>
      </w:pPr>
    </w:p>
    <w:p>
      <w:pPr>
        <w:jc w:val="both"/>
      </w:pPr>
      <w:r>
        <w:rPr>
          <w:sz w:val="20"/>
        </w:rPr>
        <w:t>Please obtain a credit card imprint from the patient for the non-covered charges.</w:t>
      </w:r>
    </w:p>
    <w:p>
      <w:pPr>
        <w:jc w:val="both"/>
      </w:pPr>
    </w:p>
    <w:p>
      <w:pPr>
        <w:jc w:val="both"/>
      </w:pPr>
      <w:r>
        <w:rPr>
          <w:b/>
          <w:sz w:val="20"/>
        </w:rPr>
        <w:t>Kindly send us the following for payment upon discharge of the patient:</w:t>
      </w:r>
    </w:p>
    <w:p>
      <w:pPr>
        <w:jc w:val="both"/>
      </w:pPr>
    </w:p>
    <w:p>
      <w:pPr>
        <w:pStyle w:val="ListParagraph"/>
        <w:numPr>
          <w:ilvl w:val="0"/>
          <w:numId w:val="2"/>
        </w:numPr>
        <w:ind w:left="1800" w:hanging="360"/>
        <w:jc w:val="both"/>
      </w:pPr>
      <w:r>
        <w:rPr>
          <w:rFonts w:ascii="Times New Roman" w:eastAsia="Times New Roman" w:hAnsi="Times New Roman" w:cs="Times New Roman"/>
          <w:b/>
          <w:sz w:val="20"/>
        </w:rPr>
        <w:t>Original *</w:t>
      </w:r>
      <w:r>
        <w:rPr>
          <w:rFonts w:ascii="Times New Roman" w:eastAsia="Times New Roman" w:hAnsi="Times New Roman" w:cs="Times New Roman"/>
          <w:b/>
          <w:color w:val="00B0F0"/>
          <w:sz w:val="20"/>
        </w:rPr>
        <w:t>Medical Report (Private Hospital) / Discharged Summary (Government Hospital) *kindly delete accordingly</w:t>
      </w:r>
    </w:p>
    <w:p>
      <w:pPr>
        <w:pStyle w:val="ListParagraph"/>
        <w:numPr>
          <w:ilvl w:val="0"/>
          <w:numId w:val="2"/>
        </w:numPr>
        <w:ind w:left="1800" w:hanging="360"/>
        <w:jc w:val="both"/>
      </w:pPr>
      <w:r>
        <w:rPr>
          <w:rFonts w:ascii="Times New Roman" w:eastAsia="Times New Roman" w:hAnsi="Times New Roman" w:cs="Times New Roman"/>
          <w:b/>
          <w:sz w:val="20"/>
        </w:rPr>
        <w:t>Original Summary and Detailed invoice</w:t>
      </w:r>
    </w:p>
    <w:p>
      <w:pPr>
        <w:ind w:left="1440"/>
        <w:jc w:val="both"/>
      </w:pPr>
    </w:p>
    <w:p>
      <w:pPr>
        <w:jc w:val="both"/>
      </w:pPr>
      <w:r>
        <w:rPr>
          <w:sz w:val="20"/>
        </w:rPr>
        <w:t>(Please note that any charge for Medical Report is not included in this guarantee)</w:t>
      </w:r>
    </w:p>
    <w:p>
      <w:pPr>
        <w:jc w:val="both"/>
      </w:pPr>
    </w:p>
    <w:p>
      <w:pPr>
        <w:jc w:val="both"/>
      </w:pPr>
      <w:r>
        <w:rPr>
          <w:b/>
          <w:sz w:val="20"/>
        </w:rPr>
        <w:t>Please note that timely settlement of the patient's invoice is conditioned upon Ulink Assist receiving the invoice within two (2) weeks of the date of appointment or discharge.</w:t>
      </w:r>
    </w:p>
    <w:p>
      <w:pPr>
        <w:jc w:val="both"/>
      </w:pPr>
    </w:p>
    <w:p>
      <w:pPr>
        <w:jc w:val="both"/>
      </w:pPr>
      <w:r>
        <w:rPr>
          <w:sz w:val="20"/>
        </w:rPr>
        <w:t>Thank you for your co-operation and assistance.</w:t>
      </w:r>
    </w:p>
    <w:p/>
    <w:p/>
    <w:p/>
    <w:p>
      <w:r>
        <w:rPr>
          <w:sz w:val="20"/>
        </w:rPr>
        <w:t>Chien-Wei Tan</w:t>
      </w:r>
    </w:p>
    <w:p>
      <w:r>
        <w:rPr>
          <w:sz w:val="20"/>
        </w:rPr>
        <w:t>Manager</w:t>
      </w:r>
    </w:p>
    <w:p/>
    <w:sectPr>
      <w:headerReference w:type="default" r:id="rId5"/>
      <w:footerReference w:type="default" r:id="rId6"/>
      <w:pgSz w:w="11909" w:h="16834"/>
      <w:pgMar w:top="840" w:right="1440" w:bottom="705" w:left="1440" w:header="706" w:footer="706" w:gutter="0"/>
      <w:cols w:num="1"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 w:line="240" w:lineRule="auto"/>
      <w:jc w:val="center"/>
    </w:pPr>
    <w:r>
      <w:rPr>
        <w:rFonts w:ascii="Times New Roman" w:eastAsia="Times New Roman" w:hAnsi="Times New Roman" w:cs="Times New Roman"/>
        <w:sz w:val="20"/>
      </w:rPr>
      <w:t>50 Armenian Street, Wilmer Place,#04-02, Singapore 179938</w:t>
    </w:r>
  </w:p>
  <w:p>
    <w:pPr>
      <w:tabs>
        <w:tab w:val="center" w:pos="4507"/>
        <w:tab w:val="left" w:pos="8050"/>
      </w:tabs>
      <w:spacing w:before="0" w:after="0" w:line="240" w:lineRule="auto"/>
    </w:pPr>
    <w:r>
      <w:pict>
        <v:rect id="_x0000_s2049" style="height:16.3pt;margin-left:456.75pt;margin-top:6.75pt;mso-position-horizontal-relative:char;position:absolute;width:23.65pt;z-index:251658240" filled="f" stroked="f">
          <v:path strokeok="f"/>
          <v:textbox>
            <w:txbxContent>
              <w:p>
                <w:pPr>
                  <w:jc w:val="left"/>
                </w:pPr>
                <w:r>
                  <w:rPr>
                    <w:rFonts w:ascii="Arial" w:eastAsia="Arial" w:hAnsi="Arial" w:cs="Arial"/>
                    <w:color w:val="000000"/>
                    <w:sz w:val="18"/>
                  </w:rPr>
                  <w:t>1</w:t>
                </w:r>
              </w:p>
            </w:txbxContent>
          </v:textbox>
        </v:rect>
      </w:pict>
    </w:r>
    <w:r>
      <w:rPr>
        <w:sz w:val="20"/>
      </w:rPr>
      <w:t/>
    </w:r>
    <w:r>
      <w:rPr>
        <w:sz w:val="20"/>
      </w:rPr>
      <w:tab/>
    </w:r>
    <w:r>
      <w:rPr>
        <w:rFonts w:ascii="Times New Roman" w:eastAsia="Times New Roman" w:hAnsi="Times New Roman" w:cs="Times New Roman"/>
        <w:sz w:val="20"/>
      </w:rPr>
      <w:t>Tel: (65) 6835 0388</w:t>
    </w:r>
    <w:r>
      <w:rPr>
        <w:rFonts w:ascii="Times New Roman" w:eastAsia="Times New Roman" w:hAnsi="Times New Roman" w:cs="Times New Roman"/>
        <w:sz w:val="20"/>
      </w:rPr>
      <w:t xml:space="preserve"> I</w:t>
    </w:r>
    <w:r>
      <w:rPr>
        <w:rFonts w:ascii="Times New Roman" w:eastAsia="Times New Roman" w:hAnsi="Times New Roman" w:cs="Times New Roman"/>
        <w:sz w:val="20"/>
      </w:rPr>
      <w:t xml:space="preserve"> Fax: (65) 6235 0288 </w:t>
    </w:r>
    <w:r>
      <w:rPr>
        <w:rFonts w:ascii="Times New Roman" w:eastAsia="Times New Roman" w:hAnsi="Times New Roman" w:cs="Times New Roman"/>
        <w:sz w:val="20"/>
      </w:rPr>
      <w:t xml:space="preserve">I </w:t>
    </w:r>
    <w:r>
      <w:rPr>
        <w:rFonts w:ascii="Times New Roman" w:eastAsia="Times New Roman" w:hAnsi="Times New Roman" w:cs="Times New Roman"/>
        <w:sz w:val="20"/>
      </w:rPr>
      <w:t>Email: ops@ulinkassist.com</w:t>
    </w:r>
    <w:r>
      <w:rPr>
        <w:sz w:val="20"/>
      </w:rPr>
      <w:tab/>
    </w:r>
  </w:p>
  <w:p>
    <w:pPr>
      <w:spacing w:before="0" w:after="0" w:line="240" w:lineRule="auto"/>
      <w:jc w:val="center"/>
    </w:pPr>
    <w:r>
      <w:rPr>
        <w:rFonts w:ascii="Times New Roman" w:eastAsia="Times New Roman" w:hAnsi="Times New Roman" w:cs="Times New Roman"/>
        <w:sz w:val="20"/>
      </w:rPr>
      <w:t>Co. Reg. No.: 198300795Z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507"/>
        <w:tab w:val="right" w:pos="8669"/>
      </w:tabs>
      <w:spacing w:after="0" w:line="240" w:lineRule="auto"/>
    </w:pPr>
    <w:r>
      <w:tab/>
    </w:r>
    <w:r>
      <w:rPr>
        <w:rFonts w:ascii="Arial" w:eastAsia="Arial" w:hAnsi="Arial" w:cs="Arial"/>
        <w:b/>
        <w:sz w:val="20"/>
      </w:rPr>
      <w:t>FOR ENQUIRIES: PLEASE CALL OUR CALL CENTRE: +65 6835 0388</w:t>
    </w:r>
    <w:r>
      <w:rPr>
        <w:sz w:val="20"/>
      </w:rPr>
      <w:tab/>
    </w:r>
  </w:p>
  <w:p>
    <w:pPr>
      <w:tabs>
        <w:tab w:val="center" w:pos="4507"/>
        <w:tab w:val="right" w:pos="8669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qFormat/>
    <w:rsid w:val="00EF7B96"/>
    <w:rPr>
      <w:rFonts w:ascii="Cambria" w:eastAsia="Cambria" w:hAnsi="Cambria" w:cs="Cambria"/>
      <w:color w:val="4F81BD"/>
      <w:sz w:val="32"/>
    </w:rPr>
  </w:style>
  <w:style w:type="paragraph" w:styleId="Heading2">
    <w:name w:val="heading 2"/>
    <w:basedOn w:val="Normal"/>
    <w:next w:val="Normal"/>
    <w:qFormat/>
    <w:rsid w:val="00EF7B96"/>
    <w:rPr>
      <w:rFonts w:ascii="Cambria" w:eastAsia="Cambria" w:hAnsi="Cambria" w:cs="Cambria"/>
      <w:color w:val="4F81BD"/>
      <w:sz w:val="26"/>
    </w:rPr>
  </w:style>
  <w:style w:type="paragraph" w:styleId="Heading3">
    <w:name w:val="heading 3"/>
    <w:basedOn w:val="Normal"/>
    <w:next w:val="Normal"/>
    <w:qFormat/>
    <w:rsid w:val="00EF7B96"/>
    <w:rPr>
      <w:rFonts w:ascii="Cambria" w:eastAsia="Cambria" w:hAnsi="Cambria" w:cs="Cambria"/>
      <w:color w:val="4F81BD"/>
      <w:sz w:val="24"/>
    </w:rPr>
  </w:style>
  <w:style w:type="paragraph" w:styleId="Heading4">
    <w:name w:val="heading 4"/>
    <w:basedOn w:val="Normal"/>
    <w:next w:val="Normal"/>
    <w:qFormat/>
    <w:rsid w:val="00EF7B96"/>
    <w:rPr>
      <w:rFonts w:ascii="Cambria" w:eastAsia="Cambria" w:hAnsi="Cambria" w:cs="Cambria"/>
      <w:i/>
      <w:color w:val="4F81BD"/>
      <w:sz w:val="22"/>
    </w:rPr>
  </w:style>
  <w:style w:type="paragraph" w:styleId="Heading5">
    <w:name w:val="heading 5"/>
    <w:basedOn w:val="Normal"/>
    <w:next w:val="Normal"/>
    <w:qFormat/>
    <w:rsid w:val="00EF7B96"/>
    <w:rPr>
      <w:rFonts w:ascii="Cambria" w:eastAsia="Cambria" w:hAnsi="Cambria" w:cs="Cambria"/>
      <w:color w:val="4F81BD"/>
      <w:sz w:val="22"/>
    </w:rPr>
  </w:style>
  <w:style w:type="paragraph" w:styleId="Heading6">
    <w:name w:val="heading 6"/>
    <w:basedOn w:val="Normal"/>
    <w:next w:val="Normal"/>
    <w:qFormat/>
    <w:rsid w:val="00EF7B96"/>
    <w:rPr>
      <w:rFonts w:ascii="Cambria" w:eastAsia="Cambria" w:hAnsi="Cambria" w:cs="Cambria"/>
      <w:color w:val="4F81BD"/>
      <w:sz w:val="22"/>
    </w:rPr>
  </w:style>
  <w:style w:type="paragraph" w:styleId="Heading7">
    <w:name w:val="heading 7"/>
    <w:basedOn w:val="Normal"/>
    <w:next w:val="Normal"/>
    <w:qFormat/>
    <w:rsid w:val="00EF7B96"/>
    <w:rPr>
      <w:rFonts w:ascii="Cambria" w:eastAsia="Cambria" w:hAnsi="Cambria" w:cs="Cambria"/>
      <w:i/>
      <w:color w:val="4F81BD"/>
      <w:sz w:val="22"/>
    </w:rPr>
  </w:style>
  <w:style w:type="paragraph" w:styleId="Heading8">
    <w:name w:val="heading 8"/>
    <w:basedOn w:val="Normal"/>
    <w:next w:val="Normal"/>
    <w:qFormat/>
    <w:rsid w:val="00EF7B96"/>
    <w:rPr>
      <w:rFonts w:ascii="Cambria" w:eastAsia="Cambria" w:hAnsi="Cambria" w:cs="Cambria"/>
      <w:sz w:val="22"/>
    </w:rPr>
  </w:style>
  <w:style w:type="paragraph" w:styleId="Heading9">
    <w:name w:val="heading 9"/>
    <w:basedOn w:val="Normal"/>
    <w:next w:val="Normal"/>
    <w:qFormat/>
    <w:rsid w:val="00EF7B96"/>
    <w:rPr>
      <w:rFonts w:ascii="Cambria" w:eastAsia="Cambria" w:hAnsi="Cambria" w:cs="Cambria"/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743E5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</w:rPr>
  </w:style>
  <w:style w:type="paragraph" w:styleId="Title">
    <w:name w:val="Title"/>
    <w:basedOn w:val="Normal"/>
    <w:qFormat/>
    <w:rsid w:val="00EF7B96"/>
    <w:rPr>
      <w:rFonts w:ascii="Cambria" w:eastAsia="Cambria" w:hAnsi="Cambria" w:cs="Cambria"/>
      <w:i/>
      <w:color w:val="4F81BD"/>
      <w:sz w:val="22"/>
    </w:rPr>
  </w:style>
  <w:style w:type="paragraph" w:styleId="Subtitle">
    <w:name w:val="Subtitle"/>
    <w:basedOn w:val="Normal"/>
    <w:qFormat/>
    <w:rsid w:val="00EF7B96"/>
    <w:rPr>
      <w:rFonts w:ascii="Cambria" w:eastAsia="Cambria" w:hAnsi="Cambria" w:cs="Cambria"/>
      <w:i/>
      <w:color w:val="4F81BD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Cambria" w:eastAsia="Cambria" w:hAnsi="Cambria" w:cs="Cambria"/>
      <w:i/>
      <w:color w:val="4F81BD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Cambria" w:eastAsia="Cambria" w:hAnsi="Cambria" w:cs="Cambria"/>
      <w:i/>
      <w:color w:val="4F81BD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664657"/>
    <w:rPr>
      <w:rFonts w:ascii="Cambria" w:eastAsia="Cambria" w:hAnsi="Cambria" w:cs="Cambria"/>
      <w:i/>
      <w:color w:val="4F81BD"/>
      <w:sz w:val="22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4F81BD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color w:val="C0504D"/>
      <w:spacing w:val="10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9BBB59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8064A2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4BACC6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F79646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C0504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