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3598" w14:textId="77777777" w:rsidR="008F516F" w:rsidRDefault="008F516F" w:rsidP="008F516F">
      <w:pPr>
        <w:pStyle w:val="Title"/>
      </w:pPr>
    </w:p>
    <w:p w14:paraId="53B1BA0C" w14:textId="77777777" w:rsidR="008F516F" w:rsidRDefault="008F516F" w:rsidP="008F516F"/>
    <w:p w14:paraId="643B302E" w14:textId="77777777" w:rsidR="008F516F" w:rsidRDefault="008F516F" w:rsidP="008F516F"/>
    <w:p w14:paraId="4DB43C09" w14:textId="77777777" w:rsidR="008F516F" w:rsidRDefault="008F516F" w:rsidP="008F516F"/>
    <w:p w14:paraId="1670119E" w14:textId="77777777" w:rsidR="008F516F" w:rsidRDefault="008F516F" w:rsidP="008F516F"/>
    <w:p w14:paraId="6460A6E6" w14:textId="77777777" w:rsidR="008F516F" w:rsidRDefault="008F516F" w:rsidP="008F516F"/>
    <w:p w14:paraId="6AEFB0DA" w14:textId="77777777" w:rsidR="008F516F" w:rsidRDefault="008F516F" w:rsidP="008F516F"/>
    <w:p w14:paraId="0860793C" w14:textId="77777777" w:rsidR="008F516F" w:rsidRDefault="008F516F" w:rsidP="008F516F"/>
    <w:p w14:paraId="7817A4C5" w14:textId="77777777" w:rsidR="008F516F" w:rsidRPr="008F516F" w:rsidRDefault="008F516F" w:rsidP="008F516F"/>
    <w:p w14:paraId="3E191FB0" w14:textId="77777777" w:rsidR="000A1BB8" w:rsidRDefault="00CF2A8D" w:rsidP="008F516F">
      <w:pPr>
        <w:pStyle w:val="Title"/>
      </w:pPr>
      <w:r>
        <w:t xml:space="preserve">Isolated DC/DC </w:t>
      </w:r>
      <w:r w:rsidR="00A85386">
        <w:t>Power Supply Design Summary</w:t>
      </w:r>
    </w:p>
    <w:p w14:paraId="64E1822B" w14:textId="77777777" w:rsidR="008F516F" w:rsidRPr="00A85386" w:rsidRDefault="008F516F" w:rsidP="008F516F">
      <w:pPr>
        <w:spacing w:after="0"/>
        <w:jc w:val="center"/>
        <w:rPr>
          <w:b/>
          <w:sz w:val="24"/>
          <w:szCs w:val="24"/>
        </w:rPr>
      </w:pPr>
      <w:r w:rsidRPr="00A85386">
        <w:rPr>
          <w:b/>
          <w:sz w:val="24"/>
          <w:szCs w:val="24"/>
        </w:rPr>
        <w:t>Name: Candice Loo</w:t>
      </w:r>
    </w:p>
    <w:p w14:paraId="3A4BA6A7" w14:textId="77777777" w:rsidR="008F516F" w:rsidRDefault="008F516F" w:rsidP="008F516F">
      <w:pPr>
        <w:spacing w:after="0"/>
        <w:jc w:val="center"/>
        <w:rPr>
          <w:b/>
          <w:sz w:val="24"/>
          <w:szCs w:val="24"/>
        </w:rPr>
      </w:pPr>
      <w:r w:rsidRPr="00A85386">
        <w:rPr>
          <w:b/>
          <w:sz w:val="24"/>
          <w:szCs w:val="24"/>
        </w:rPr>
        <w:t>Date</w:t>
      </w:r>
      <w:r w:rsidR="00A85386" w:rsidRPr="00A85386">
        <w:rPr>
          <w:b/>
          <w:sz w:val="24"/>
          <w:szCs w:val="24"/>
        </w:rPr>
        <w:t xml:space="preserve"> Created</w:t>
      </w:r>
      <w:r w:rsidRPr="00A85386">
        <w:rPr>
          <w:b/>
          <w:sz w:val="24"/>
          <w:szCs w:val="24"/>
        </w:rPr>
        <w:t>: 1/</w:t>
      </w:r>
      <w:r w:rsidR="00A85386" w:rsidRPr="00A85386">
        <w:rPr>
          <w:b/>
          <w:sz w:val="24"/>
          <w:szCs w:val="24"/>
        </w:rPr>
        <w:t>2</w:t>
      </w:r>
      <w:r w:rsidRPr="00A85386">
        <w:rPr>
          <w:b/>
          <w:sz w:val="24"/>
          <w:szCs w:val="24"/>
        </w:rPr>
        <w:t>/1</w:t>
      </w:r>
      <w:r w:rsidR="00A85386" w:rsidRPr="00A85386">
        <w:rPr>
          <w:b/>
          <w:sz w:val="24"/>
          <w:szCs w:val="24"/>
        </w:rPr>
        <w:t>9</w:t>
      </w:r>
    </w:p>
    <w:p w14:paraId="03453840" w14:textId="77777777" w:rsidR="008D6911" w:rsidRPr="00A85386" w:rsidRDefault="008D6911" w:rsidP="008F516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Last Updated: 1/</w:t>
      </w:r>
      <w:r w:rsidR="00CF2A8D">
        <w:rPr>
          <w:b/>
          <w:sz w:val="24"/>
          <w:szCs w:val="24"/>
        </w:rPr>
        <w:t>24</w:t>
      </w:r>
      <w:r>
        <w:rPr>
          <w:b/>
          <w:sz w:val="24"/>
          <w:szCs w:val="24"/>
        </w:rPr>
        <w:t>/19</w:t>
      </w:r>
    </w:p>
    <w:p w14:paraId="118BB217" w14:textId="77777777" w:rsidR="008F516F" w:rsidRDefault="008F516F" w:rsidP="008F516F">
      <w:r>
        <w:br w:type="page"/>
      </w:r>
    </w:p>
    <w:p w14:paraId="373BD0BC" w14:textId="77777777" w:rsidR="008F516F" w:rsidRDefault="009D3B91" w:rsidP="008F516F">
      <w:pPr>
        <w:pStyle w:val="Heading1"/>
      </w:pPr>
      <w:r>
        <w:lastRenderedPageBreak/>
        <w:t>Duty Cycle and Transformer Ratio</w:t>
      </w:r>
    </w:p>
    <w:p w14:paraId="0CC38581" w14:textId="77777777" w:rsidR="00812251" w:rsidRPr="00812251" w:rsidRDefault="00812251" w:rsidP="00812251">
      <w:r>
        <w:t xml:space="preserve">By looking at the inductor voltage waveforms in one </w:t>
      </w:r>
      <w:r w:rsidR="009233CF">
        <w:t>period and</w:t>
      </w:r>
      <w:r>
        <w:t xml:space="preserve"> given that the average inductor voltage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=0V</m:t>
        </m:r>
      </m:oMath>
      <w:r>
        <w:t>, we see that the positive and negative areas must be equivalent.</w:t>
      </w:r>
    </w:p>
    <w:p w14:paraId="43E56B19" w14:textId="77777777" w:rsidR="008F516F" w:rsidRPr="00271975" w:rsidRDefault="00271975" w:rsidP="008F516F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534A71A0" w14:textId="77777777" w:rsidR="00271975" w:rsidRPr="009233CF" w:rsidRDefault="003E0904" w:rsidP="008F516F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D</m:t>
          </m:r>
        </m:oMath>
      </m:oMathPara>
    </w:p>
    <w:p w14:paraId="69F5F544" w14:textId="77777777" w:rsidR="000506A1" w:rsidRDefault="000506A1" w:rsidP="008F516F">
      <w:r>
        <w:t xml:space="preserve">By substituting the conditions of a full bridge converter into the buck section of [1], the optimal turns ratio for the transformer can be found. While I am uncertain about the intricacies as to why the paper chooses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=.35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=.48</m:t>
        </m:r>
      </m:oMath>
      <w:r>
        <w:t>, we will use double these values to translate it to a full bridge converter.</w:t>
      </w:r>
    </w:p>
    <w:p w14:paraId="1BCF325C" w14:textId="77777777" w:rsidR="000506A1" w:rsidRPr="000506A1" w:rsidRDefault="003E0904" w:rsidP="008F51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14:paraId="76CBA22D" w14:textId="77777777" w:rsidR="00A34C96" w:rsidRPr="00A34C96" w:rsidRDefault="00591CAE" w:rsidP="008F516F">
      <m:oMathPara>
        <m:oMath>
          <m:r>
            <w:rPr>
              <w:rFonts w:ascii="Cambria Math" w:hAnsi="Cambria Math"/>
            </w:rPr>
            <m:t>0.9899≤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≤1.358</m:t>
          </m:r>
        </m:oMath>
      </m:oMathPara>
    </w:p>
    <w:p w14:paraId="7D197F5F" w14:textId="77777777" w:rsidR="00A34C96" w:rsidRPr="000506A1" w:rsidRDefault="00A34C96" w:rsidP="008F516F">
      <w:r>
        <w:t>We choose the transformer ratio to be the approximate average of either extremes of the optimal values.</w:t>
      </w:r>
    </w:p>
    <w:p w14:paraId="5638566C" w14:textId="77777777" w:rsidR="000506A1" w:rsidRPr="00A34C96" w:rsidRDefault="003E0904" w:rsidP="008F516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=1.174</m:t>
          </m:r>
        </m:oMath>
      </m:oMathPara>
    </w:p>
    <w:p w14:paraId="4A585143" w14:textId="77777777" w:rsidR="009233CF" w:rsidRDefault="00600E01" w:rsidP="008F516F">
      <m:oMathPara>
        <m:oMath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.415</m:t>
          </m:r>
        </m:oMath>
      </m:oMathPara>
    </w:p>
    <w:p w14:paraId="393263FD" w14:textId="77777777" w:rsidR="009233CF" w:rsidRDefault="009D3B91" w:rsidP="009233CF">
      <w:pPr>
        <w:pStyle w:val="Heading1"/>
      </w:pPr>
      <w:r>
        <w:t>Component Calculation</w:t>
      </w:r>
    </w:p>
    <w:p w14:paraId="5D32A2EC" w14:textId="77777777" w:rsidR="009233CF" w:rsidRDefault="00C128E2" w:rsidP="009233CF">
      <w:r>
        <w:t>The full bridge converter is derived from the buck converter, so we should be able to find the inductor and capacitor in the same way</w:t>
      </w:r>
      <w:r w:rsidR="007D018E">
        <w:t>, but with the transformer ratio in mind</w:t>
      </w:r>
      <w:r>
        <w:t>.</w:t>
      </w:r>
    </w:p>
    <w:p w14:paraId="7AA1128B" w14:textId="77777777" w:rsidR="00C128E2" w:rsidRPr="007D018E" w:rsidRDefault="009362B9" w:rsidP="009233CF">
      <m:oMathPara>
        <m:oMath>
          <m:r>
            <m:rPr>
              <m:sty m:val="bi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2.60</m:t>
          </m:r>
          <m:r>
            <m:rPr>
              <m:sty m:val="bi"/>
            </m:rPr>
            <w:rPr>
              <w:rFonts w:ascii="Cambria Math" w:hAnsi="Cambria Math"/>
            </w:rPr>
            <m:t>mH</m:t>
          </m:r>
        </m:oMath>
      </m:oMathPara>
    </w:p>
    <w:p w14:paraId="10516465" w14:textId="77777777" w:rsidR="007D018E" w:rsidRPr="009362B9" w:rsidRDefault="009362B9" w:rsidP="009233CF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1.54</m:t>
          </m:r>
          <m:r>
            <m:rPr>
              <m:sty m:val="bi"/>
            </m:rPr>
            <w:rPr>
              <w:rFonts w:ascii="Cambria Math" w:hAnsi="Cambria Math"/>
            </w:rPr>
            <m:t>μF</m:t>
          </m:r>
        </m:oMath>
      </m:oMathPara>
    </w:p>
    <w:p w14:paraId="1D8540F3" w14:textId="77777777" w:rsidR="00540820" w:rsidRPr="00446BA9" w:rsidRDefault="009362B9" w:rsidP="009233CF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6Ω</m:t>
          </m:r>
        </m:oMath>
      </m:oMathPara>
    </w:p>
    <w:p w14:paraId="1C195DFB" w14:textId="77777777" w:rsidR="00446BA9" w:rsidRDefault="00446BA9" w:rsidP="00446BA9">
      <w:pPr>
        <w:jc w:val="center"/>
      </w:pPr>
      <w:r>
        <w:rPr>
          <w:noProof/>
        </w:rPr>
        <w:drawing>
          <wp:inline distT="0" distB="0" distL="0" distR="0" wp14:anchorId="239A3DD1" wp14:editId="6F424C25">
            <wp:extent cx="4849382" cy="12382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901" cy="12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2666" w14:textId="77777777" w:rsidR="00446BA9" w:rsidRDefault="00446BA9" w:rsidP="00446BA9">
      <w:pPr>
        <w:jc w:val="center"/>
        <w:rPr>
          <w:i/>
        </w:rPr>
      </w:pPr>
      <w:r>
        <w:rPr>
          <w:i/>
        </w:rPr>
        <w:t>Figure 2.1. Summary of parameters and results</w:t>
      </w:r>
    </w:p>
    <w:p w14:paraId="22C8E415" w14:textId="77777777" w:rsidR="00A622AC" w:rsidRPr="00D979EB" w:rsidRDefault="00D979EB" w:rsidP="00D979EB">
      <w:pPr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EE663A" wp14:editId="66D48B7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19265" cy="169545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26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2C8FB" w14:textId="77777777" w:rsidR="003E1506" w:rsidRDefault="00D979EB" w:rsidP="003E1506">
      <w:r>
        <w:rPr>
          <w:noProof/>
        </w:rPr>
        <w:drawing>
          <wp:inline distT="0" distB="0" distL="0" distR="0" wp14:anchorId="66F8DBFB" wp14:editId="741C092B">
            <wp:extent cx="5695950" cy="57912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0660" w14:textId="77777777" w:rsidR="00CD136C" w:rsidRPr="0054560E" w:rsidRDefault="003D420C" w:rsidP="0054560E">
      <w:pPr>
        <w:jc w:val="center"/>
        <w:rPr>
          <w:i/>
        </w:rPr>
      </w:pPr>
      <w:r>
        <w:rPr>
          <w:i/>
        </w:rPr>
        <w:t>Figu</w:t>
      </w:r>
      <w:r w:rsidR="006D3A4E">
        <w:rPr>
          <w:i/>
        </w:rPr>
        <w:t>re 2.</w:t>
      </w:r>
      <w:r w:rsidR="00446BA9">
        <w:rPr>
          <w:i/>
        </w:rPr>
        <w:t>2</w:t>
      </w:r>
      <w:r w:rsidR="006D3A4E">
        <w:rPr>
          <w:i/>
        </w:rPr>
        <w:t>. Circuit schematic for the</w:t>
      </w:r>
      <w:r>
        <w:rPr>
          <w:i/>
        </w:rPr>
        <w:t xml:space="preserve"> isolated full bridge converter</w:t>
      </w:r>
      <w:r w:rsidR="00CD136C">
        <w:br w:type="page"/>
      </w:r>
    </w:p>
    <w:p w14:paraId="15124567" w14:textId="77777777" w:rsidR="00A622AC" w:rsidRDefault="009D3B91" w:rsidP="00A622AC">
      <w:pPr>
        <w:pStyle w:val="Heading1"/>
      </w:pPr>
      <w:r>
        <w:lastRenderedPageBreak/>
        <w:t xml:space="preserve">Simulation in </w:t>
      </w:r>
      <w:proofErr w:type="spellStart"/>
      <w:r w:rsidR="002665E9">
        <w:t>LTspice</w:t>
      </w:r>
      <w:proofErr w:type="spellEnd"/>
    </w:p>
    <w:p w14:paraId="78FD408E" w14:textId="77777777" w:rsidR="00A622AC" w:rsidRPr="00A622AC" w:rsidRDefault="003D420C" w:rsidP="00A622AC">
      <w:r>
        <w:t>The simulation results appear in figure 3.1.</w:t>
      </w:r>
      <w:r w:rsidR="00E51695">
        <w:t xml:space="preserve"> </w:t>
      </w:r>
      <w:r w:rsidR="00324050">
        <w:t>Simulation in progress, as some debugging of the control circuit is required</w:t>
      </w:r>
      <w:r w:rsidR="00E51695">
        <w:t>.</w:t>
      </w:r>
    </w:p>
    <w:p w14:paraId="26A27402" w14:textId="77777777" w:rsidR="00904036" w:rsidRDefault="00324050" w:rsidP="00904036">
      <w:pPr>
        <w:jc w:val="center"/>
      </w:pPr>
      <w:r>
        <w:t>[Insert image of waveforms here</w:t>
      </w:r>
      <w:bookmarkStart w:id="0" w:name="_GoBack"/>
      <w:bookmarkEnd w:id="0"/>
      <w:r>
        <w:t>]</w:t>
      </w:r>
    </w:p>
    <w:p w14:paraId="41494446" w14:textId="77777777" w:rsidR="00CD136C" w:rsidRDefault="00CD136C" w:rsidP="00904036">
      <w:pPr>
        <w:jc w:val="center"/>
        <w:rPr>
          <w:i/>
        </w:rPr>
      </w:pPr>
      <w:r>
        <w:rPr>
          <w:i/>
        </w:rPr>
        <w:t xml:space="preserve">Figure 3.1. </w:t>
      </w:r>
      <w:r w:rsidR="00947F4F">
        <w:rPr>
          <w:i/>
        </w:rPr>
        <w:t>LTspice</w:t>
      </w:r>
      <w:r>
        <w:rPr>
          <w:i/>
        </w:rPr>
        <w:t xml:space="preserve"> waveforms for the output voltage, inductor current, secondary voltage, switch current, and diode current</w:t>
      </w:r>
    </w:p>
    <w:p w14:paraId="32CCF936" w14:textId="77777777" w:rsidR="00145EF4" w:rsidRDefault="00961923" w:rsidP="00CD136C">
      <w:r>
        <w:t>Table 3.1. Summary of simulation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145EF4" w14:paraId="5EF8851A" w14:textId="77777777" w:rsidTr="00FB5889">
        <w:trPr>
          <w:trHeight w:val="374"/>
        </w:trPr>
        <w:tc>
          <w:tcPr>
            <w:tcW w:w="3115" w:type="dxa"/>
          </w:tcPr>
          <w:p w14:paraId="7C8166E7" w14:textId="77777777" w:rsidR="00145EF4" w:rsidRPr="00256423" w:rsidRDefault="00145EF4" w:rsidP="00CD136C">
            <w:pPr>
              <w:rPr>
                <w:b/>
              </w:rPr>
            </w:pPr>
          </w:p>
        </w:tc>
        <w:tc>
          <w:tcPr>
            <w:tcW w:w="3116" w:type="dxa"/>
          </w:tcPr>
          <w:p w14:paraId="0B55A767" w14:textId="77777777" w:rsidR="00145EF4" w:rsidRPr="00256423" w:rsidRDefault="00145EF4" w:rsidP="00256423">
            <w:pPr>
              <w:jc w:val="center"/>
              <w:rPr>
                <w:b/>
              </w:rPr>
            </w:pPr>
            <w:r w:rsidRPr="00256423">
              <w:rPr>
                <w:b/>
              </w:rPr>
              <w:t>Theoretical Values</w:t>
            </w:r>
          </w:p>
        </w:tc>
        <w:tc>
          <w:tcPr>
            <w:tcW w:w="3116" w:type="dxa"/>
          </w:tcPr>
          <w:p w14:paraId="7003DB14" w14:textId="77777777" w:rsidR="00145EF4" w:rsidRPr="00256423" w:rsidRDefault="00145EF4" w:rsidP="00256423">
            <w:pPr>
              <w:jc w:val="center"/>
              <w:rPr>
                <w:b/>
              </w:rPr>
            </w:pPr>
            <w:r w:rsidRPr="00256423">
              <w:rPr>
                <w:b/>
              </w:rPr>
              <w:t>Simulation Values</w:t>
            </w:r>
          </w:p>
        </w:tc>
      </w:tr>
      <w:tr w:rsidR="00145EF4" w14:paraId="3FA81DB0" w14:textId="77777777" w:rsidTr="00FB5889">
        <w:trPr>
          <w:trHeight w:val="352"/>
        </w:trPr>
        <w:tc>
          <w:tcPr>
            <w:tcW w:w="3115" w:type="dxa"/>
          </w:tcPr>
          <w:p w14:paraId="7F171394" w14:textId="77777777" w:rsidR="00145EF4" w:rsidRDefault="003E0904" w:rsidP="00CD13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  <w:tc>
          <w:tcPr>
            <w:tcW w:w="3116" w:type="dxa"/>
          </w:tcPr>
          <w:p w14:paraId="33570C81" w14:textId="77777777" w:rsidR="00145EF4" w:rsidRDefault="002B2EE0" w:rsidP="00256423">
            <w:pPr>
              <w:jc w:val="center"/>
            </w:pPr>
            <w:r>
              <w:t>5</w:t>
            </w:r>
          </w:p>
        </w:tc>
        <w:tc>
          <w:tcPr>
            <w:tcW w:w="3116" w:type="dxa"/>
          </w:tcPr>
          <w:p w14:paraId="2D876E88" w14:textId="77777777" w:rsidR="00145EF4" w:rsidRDefault="00256423" w:rsidP="00256423">
            <w:pPr>
              <w:jc w:val="center"/>
            </w:pPr>
            <w:r>
              <w:t>3.2053203</w:t>
            </w:r>
          </w:p>
        </w:tc>
      </w:tr>
      <w:tr w:rsidR="00145EF4" w14:paraId="31D948D3" w14:textId="77777777" w:rsidTr="00FB5889">
        <w:trPr>
          <w:trHeight w:val="374"/>
        </w:trPr>
        <w:tc>
          <w:tcPr>
            <w:tcW w:w="3115" w:type="dxa"/>
          </w:tcPr>
          <w:p w14:paraId="2F87D150" w14:textId="77777777" w:rsidR="00145EF4" w:rsidRDefault="003E0904" w:rsidP="00CD13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(A)</m:t>
                </m:r>
              </m:oMath>
            </m:oMathPara>
          </w:p>
        </w:tc>
        <w:tc>
          <w:tcPr>
            <w:tcW w:w="3116" w:type="dxa"/>
          </w:tcPr>
          <w:p w14:paraId="0875C4E1" w14:textId="77777777" w:rsidR="00145EF4" w:rsidRDefault="002B2EE0" w:rsidP="00256423">
            <w:pPr>
              <w:jc w:val="center"/>
            </w:pPr>
            <w:r>
              <w:t>75</w:t>
            </w:r>
          </w:p>
        </w:tc>
        <w:tc>
          <w:tcPr>
            <w:tcW w:w="3116" w:type="dxa"/>
          </w:tcPr>
          <w:p w14:paraId="290EA4E9" w14:textId="77777777" w:rsidR="00145EF4" w:rsidRDefault="00256423" w:rsidP="00256423">
            <w:pPr>
              <w:jc w:val="center"/>
            </w:pPr>
            <w:r>
              <w:t>4</w:t>
            </w:r>
            <w:r w:rsidR="00B30272" w:rsidRPr="00B30272">
              <w:t>8</w:t>
            </w:r>
            <w:r>
              <w:t>.079405</w:t>
            </w:r>
          </w:p>
        </w:tc>
      </w:tr>
      <w:tr w:rsidR="00145EF4" w14:paraId="498F9BD0" w14:textId="77777777" w:rsidTr="00FB5889">
        <w:trPr>
          <w:trHeight w:val="352"/>
        </w:trPr>
        <w:tc>
          <w:tcPr>
            <w:tcW w:w="3115" w:type="dxa"/>
          </w:tcPr>
          <w:p w14:paraId="77CB99BF" w14:textId="77777777" w:rsidR="00145EF4" w:rsidRDefault="003E0904" w:rsidP="00CD13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S1,on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  <w:tc>
          <w:tcPr>
            <w:tcW w:w="3116" w:type="dxa"/>
          </w:tcPr>
          <w:p w14:paraId="58D61F15" w14:textId="77777777" w:rsidR="00145EF4" w:rsidRDefault="00534AC7" w:rsidP="00256423">
            <w:pPr>
              <w:jc w:val="center"/>
            </w:pPr>
            <w:r>
              <w:t>6.071</w:t>
            </w:r>
          </w:p>
        </w:tc>
        <w:tc>
          <w:tcPr>
            <w:tcW w:w="3116" w:type="dxa"/>
          </w:tcPr>
          <w:p w14:paraId="29735BA5" w14:textId="77777777" w:rsidR="00145EF4" w:rsidRDefault="00534AC7" w:rsidP="00256423">
            <w:pPr>
              <w:jc w:val="center"/>
            </w:pPr>
            <w:r w:rsidRPr="00534AC7">
              <w:t>3.663737</w:t>
            </w:r>
          </w:p>
        </w:tc>
      </w:tr>
      <w:tr w:rsidR="00145EF4" w14:paraId="0DA86EBE" w14:textId="77777777" w:rsidTr="00FB5889">
        <w:trPr>
          <w:trHeight w:val="374"/>
        </w:trPr>
        <w:tc>
          <w:tcPr>
            <w:tcW w:w="3115" w:type="dxa"/>
          </w:tcPr>
          <w:p w14:paraId="2559505B" w14:textId="77777777" w:rsidR="00145EF4" w:rsidRDefault="003E0904" w:rsidP="00CD13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T3,peak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(A)</m:t>
                </m:r>
              </m:oMath>
            </m:oMathPara>
          </w:p>
        </w:tc>
        <w:tc>
          <w:tcPr>
            <w:tcW w:w="3116" w:type="dxa"/>
          </w:tcPr>
          <w:p w14:paraId="6E6C8C12" w14:textId="77777777" w:rsidR="00145EF4" w:rsidRDefault="00561C49" w:rsidP="00256423">
            <w:pPr>
              <w:jc w:val="center"/>
            </w:pPr>
            <w:r>
              <w:t>2.719</w:t>
            </w:r>
          </w:p>
        </w:tc>
        <w:tc>
          <w:tcPr>
            <w:tcW w:w="3116" w:type="dxa"/>
          </w:tcPr>
          <w:p w14:paraId="554686A6" w14:textId="77777777" w:rsidR="00145EF4" w:rsidRDefault="00256423" w:rsidP="00256423">
            <w:pPr>
              <w:jc w:val="center"/>
            </w:pPr>
            <w:r>
              <w:t>1.7823839</w:t>
            </w:r>
          </w:p>
        </w:tc>
      </w:tr>
      <w:tr w:rsidR="00145EF4" w14:paraId="5F224060" w14:textId="77777777" w:rsidTr="00FB5889">
        <w:trPr>
          <w:trHeight w:val="352"/>
        </w:trPr>
        <w:tc>
          <w:tcPr>
            <w:tcW w:w="3115" w:type="dxa"/>
          </w:tcPr>
          <w:p w14:paraId="11AD19BC" w14:textId="77777777" w:rsidR="00145EF4" w:rsidRDefault="00145EF4" w:rsidP="00CD136C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pp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6" w:type="dxa"/>
          </w:tcPr>
          <w:p w14:paraId="38C1094E" w14:textId="77777777" w:rsidR="00145EF4" w:rsidRDefault="00EF6DF3" w:rsidP="00256423">
            <w:pPr>
              <w:jc w:val="center"/>
            </w:pPr>
            <w:r>
              <w:t>.1</w:t>
            </w:r>
          </w:p>
        </w:tc>
        <w:tc>
          <w:tcPr>
            <w:tcW w:w="3116" w:type="dxa"/>
          </w:tcPr>
          <w:p w14:paraId="608EBE2A" w14:textId="77777777" w:rsidR="00145EF4" w:rsidRDefault="00256423" w:rsidP="00256423">
            <w:pPr>
              <w:jc w:val="center"/>
            </w:pPr>
            <w:r w:rsidRPr="00256423">
              <w:t>0.1300602</w:t>
            </w:r>
          </w:p>
        </w:tc>
      </w:tr>
      <w:tr w:rsidR="00145EF4" w14:paraId="2C9F79E7" w14:textId="77777777" w:rsidTr="00FB5889">
        <w:trPr>
          <w:trHeight w:val="352"/>
        </w:trPr>
        <w:tc>
          <w:tcPr>
            <w:tcW w:w="3115" w:type="dxa"/>
          </w:tcPr>
          <w:p w14:paraId="400C8B07" w14:textId="77777777" w:rsidR="00145EF4" w:rsidRDefault="00145EF4" w:rsidP="00CD136C">
            <w:pPr>
              <w:rPr>
                <w:rFonts w:eastAsia="Yu Mincho"/>
              </w:rPr>
            </w:pPr>
            <m:oMathPara>
              <m:oMath>
                <m:r>
                  <w:rPr>
                    <w:rFonts w:ascii="Cambria Math" w:eastAsia="Yu Mincho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Yu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Yu Mincho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Yu Mincho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="Yu Mincho" w:hAnsi="Cambria Math"/>
                  </w:rPr>
                  <m:t xml:space="preserve"> (A)</m:t>
                </m:r>
              </m:oMath>
            </m:oMathPara>
          </w:p>
        </w:tc>
        <w:tc>
          <w:tcPr>
            <w:tcW w:w="3116" w:type="dxa"/>
          </w:tcPr>
          <w:p w14:paraId="3C3E5174" w14:textId="77777777" w:rsidR="00145EF4" w:rsidRDefault="00EF6DF3" w:rsidP="00256423">
            <w:pPr>
              <w:jc w:val="center"/>
            </w:pPr>
            <w:r>
              <w:t>2.25</w:t>
            </w:r>
          </w:p>
        </w:tc>
        <w:tc>
          <w:tcPr>
            <w:tcW w:w="3116" w:type="dxa"/>
          </w:tcPr>
          <w:p w14:paraId="3DC794AD" w14:textId="77777777" w:rsidR="00145EF4" w:rsidRDefault="00256423" w:rsidP="00256423">
            <w:pPr>
              <w:jc w:val="center"/>
            </w:pPr>
            <w:r w:rsidRPr="00256423">
              <w:t>3.663737</w:t>
            </w:r>
          </w:p>
        </w:tc>
      </w:tr>
    </w:tbl>
    <w:p w14:paraId="7D147093" w14:textId="77777777" w:rsidR="00D008B9" w:rsidRDefault="003E0904" w:rsidP="00CD13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S1,on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142FB98E" w14:textId="77777777" w:rsidR="00BD1C0F" w:rsidRPr="00D008B9" w:rsidRDefault="003E0904" w:rsidP="00CD13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T3,peak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L,peak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5EE43B2" w14:textId="77777777" w:rsidR="00145EF4" w:rsidRPr="00030456" w:rsidRDefault="00030456" w:rsidP="00CD136C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=.02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20A7C59A" w14:textId="77777777" w:rsidR="00030456" w:rsidRPr="00CD136C" w:rsidRDefault="00030456" w:rsidP="00CD136C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=.03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5F5478CA" w14:textId="77777777" w:rsidR="00757AD1" w:rsidRDefault="00757AD1" w:rsidP="009233CF"/>
    <w:p w14:paraId="46AAC10A" w14:textId="77777777" w:rsidR="00F95051" w:rsidRDefault="009F3E82" w:rsidP="00F95051">
      <w:pPr>
        <w:pStyle w:val="Heading1"/>
      </w:pPr>
      <w:r>
        <w:t>Current Step-Up</w:t>
      </w:r>
    </w:p>
    <w:p w14:paraId="1FBC6671" w14:textId="77777777" w:rsidR="001022CD" w:rsidRPr="001022CD" w:rsidRDefault="001022CD" w:rsidP="001022CD">
      <w:r>
        <w:t>When performing current step-up, we see that the current does not quite reach its expected value due to losses in the transformer. There is also a voltage dip because the inductor wants to maintain or smoothly transition its current.</w:t>
      </w:r>
    </w:p>
    <w:p w14:paraId="19B2AD4F" w14:textId="77777777" w:rsidR="00F95051" w:rsidRDefault="00E171C8" w:rsidP="00E171C8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298A06B" wp14:editId="644F14FE">
            <wp:extent cx="5662092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4630" cy="22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Figure 4.1. Circuit schematic f</w:t>
      </w:r>
      <w:r w:rsidR="000A43A2">
        <w:rPr>
          <w:i/>
        </w:rPr>
        <w:t>or current step up and step down</w:t>
      </w:r>
    </w:p>
    <w:p w14:paraId="76AF6246" w14:textId="77777777" w:rsidR="000A43A2" w:rsidRDefault="000A2452" w:rsidP="000A43A2">
      <w:r>
        <w:rPr>
          <w:noProof/>
        </w:rPr>
        <w:drawing>
          <wp:inline distT="0" distB="0" distL="0" distR="0" wp14:anchorId="48E5324F" wp14:editId="1BC7D8F8">
            <wp:extent cx="5734050" cy="3876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0892" w14:textId="77777777" w:rsidR="000A2452" w:rsidRPr="000A2452" w:rsidRDefault="000A2452" w:rsidP="000A2452">
      <w:pPr>
        <w:jc w:val="center"/>
        <w:rPr>
          <w:i/>
        </w:rPr>
      </w:pPr>
      <w:r>
        <w:rPr>
          <w:i/>
        </w:rPr>
        <w:t>Figure 4.2. Current step-up waveforms</w:t>
      </w:r>
    </w:p>
    <w:p w14:paraId="3607ADAB" w14:textId="77777777" w:rsidR="00143B3E" w:rsidRDefault="00143B3E">
      <w:pPr>
        <w:rPr>
          <w:b/>
          <w:sz w:val="28"/>
          <w:szCs w:val="28"/>
        </w:rPr>
      </w:pPr>
      <w:r>
        <w:br w:type="page"/>
      </w:r>
    </w:p>
    <w:p w14:paraId="5F9E50C9" w14:textId="77777777" w:rsidR="00E171C8" w:rsidRDefault="009F3E82" w:rsidP="00E171C8">
      <w:pPr>
        <w:pStyle w:val="Heading1"/>
      </w:pPr>
      <w:r>
        <w:lastRenderedPageBreak/>
        <w:t>Current Step-Down</w:t>
      </w:r>
    </w:p>
    <w:p w14:paraId="578E1CCA" w14:textId="77777777" w:rsidR="00143B3E" w:rsidRPr="00143B3E" w:rsidRDefault="00143B3E" w:rsidP="00143B3E">
      <w:r>
        <w:t>In current stepdown, we observe the same losses as in current step-up, but the voltage spikes because the inductor wants to maintain its current.</w:t>
      </w:r>
    </w:p>
    <w:p w14:paraId="01F34F32" w14:textId="77777777" w:rsidR="00E171C8" w:rsidRDefault="000A2452" w:rsidP="00F95051">
      <w:r>
        <w:rPr>
          <w:noProof/>
        </w:rPr>
        <w:drawing>
          <wp:inline distT="0" distB="0" distL="0" distR="0" wp14:anchorId="5CDB5485" wp14:editId="65465585">
            <wp:extent cx="5734050" cy="3876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F486" w14:textId="77777777" w:rsidR="000A2452" w:rsidRPr="000A2452" w:rsidRDefault="000A2452" w:rsidP="000A2452">
      <w:pPr>
        <w:jc w:val="center"/>
        <w:rPr>
          <w:i/>
        </w:rPr>
      </w:pPr>
      <w:r>
        <w:rPr>
          <w:i/>
        </w:rPr>
        <w:t>Figure 4.2. Current s</w:t>
      </w:r>
      <w:r w:rsidR="008F3E90">
        <w:rPr>
          <w:i/>
        </w:rPr>
        <w:t>tep-down</w:t>
      </w:r>
      <w:r>
        <w:rPr>
          <w:i/>
        </w:rPr>
        <w:t xml:space="preserve"> waveforms</w:t>
      </w:r>
    </w:p>
    <w:p w14:paraId="0D7E9DD7" w14:textId="77777777" w:rsidR="000A2452" w:rsidRDefault="000A2452" w:rsidP="00F95051"/>
    <w:p w14:paraId="4D79ED8A" w14:textId="77777777" w:rsidR="00F565E8" w:rsidRDefault="009F3E82" w:rsidP="00F565E8">
      <w:pPr>
        <w:pStyle w:val="Heading1"/>
      </w:pPr>
      <w:r>
        <w:t>Boundary Current</w:t>
      </w:r>
    </w:p>
    <w:p w14:paraId="599A95F5" w14:textId="77777777" w:rsidR="00F565E8" w:rsidRPr="00F565E8" w:rsidRDefault="003E0904" w:rsidP="00F565E8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50</m:t>
          </m:r>
          <m:r>
            <m:rPr>
              <m:sty m:val="bi"/>
            </m:rPr>
            <w:rPr>
              <w:rFonts w:ascii="Cambria Math" w:hAnsi="Cambria Math"/>
            </w:rPr>
            <m:t>mA</m:t>
          </m:r>
        </m:oMath>
      </m:oMathPara>
    </w:p>
    <w:p w14:paraId="1A77B524" w14:textId="77777777" w:rsidR="00F95051" w:rsidRDefault="00F95051" w:rsidP="009233CF"/>
    <w:p w14:paraId="7D6CF772" w14:textId="77777777" w:rsidR="000506A1" w:rsidRDefault="000506A1" w:rsidP="000506A1">
      <w:pPr>
        <w:pStyle w:val="Heading1"/>
      </w:pPr>
      <w:r>
        <w:t>References</w:t>
      </w:r>
    </w:p>
    <w:p w14:paraId="585DDAA8" w14:textId="77777777" w:rsidR="000506A1" w:rsidRPr="000506A1" w:rsidRDefault="000506A1" w:rsidP="000506A1">
      <w:r>
        <w:t xml:space="preserve">[1] </w:t>
      </w:r>
      <w:r w:rsidRPr="000506A1">
        <w:t xml:space="preserve">L. </w:t>
      </w:r>
      <w:proofErr w:type="spellStart"/>
      <w:r w:rsidRPr="000506A1">
        <w:t>Rubino</w:t>
      </w:r>
      <w:proofErr w:type="spellEnd"/>
      <w:r w:rsidRPr="000506A1">
        <w:t xml:space="preserve">, B. </w:t>
      </w:r>
      <w:proofErr w:type="spellStart"/>
      <w:r w:rsidRPr="000506A1">
        <w:t>Guida</w:t>
      </w:r>
      <w:proofErr w:type="spellEnd"/>
      <w:r w:rsidRPr="000506A1">
        <w:t>, P. Marino and A. Cavallo, "On the selection of optimal turns ratio for transformers in isolated DC/DC boost full bridge converter," SPEEDAM 2010, Pisa, 2010, pp. 39-43.</w:t>
      </w:r>
    </w:p>
    <w:sectPr w:rsidR="000506A1" w:rsidRPr="0005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B8"/>
    <w:rsid w:val="0002570F"/>
    <w:rsid w:val="00030456"/>
    <w:rsid w:val="00036BF5"/>
    <w:rsid w:val="000506A1"/>
    <w:rsid w:val="000A1BB8"/>
    <w:rsid w:val="000A2452"/>
    <w:rsid w:val="000A43A2"/>
    <w:rsid w:val="001022CD"/>
    <w:rsid w:val="00143B3E"/>
    <w:rsid w:val="00145EF4"/>
    <w:rsid w:val="0021382B"/>
    <w:rsid w:val="00256423"/>
    <w:rsid w:val="002665E9"/>
    <w:rsid w:val="00271975"/>
    <w:rsid w:val="002973B2"/>
    <w:rsid w:val="002A37E6"/>
    <w:rsid w:val="002B2EE0"/>
    <w:rsid w:val="00324050"/>
    <w:rsid w:val="003D420C"/>
    <w:rsid w:val="003E0904"/>
    <w:rsid w:val="003E1506"/>
    <w:rsid w:val="00446BA9"/>
    <w:rsid w:val="00501FCE"/>
    <w:rsid w:val="00534AC7"/>
    <w:rsid w:val="00540820"/>
    <w:rsid w:val="0054560E"/>
    <w:rsid w:val="00561C49"/>
    <w:rsid w:val="00565E23"/>
    <w:rsid w:val="00591CAE"/>
    <w:rsid w:val="00600E01"/>
    <w:rsid w:val="006D3A4E"/>
    <w:rsid w:val="00757AD1"/>
    <w:rsid w:val="007D018E"/>
    <w:rsid w:val="00812251"/>
    <w:rsid w:val="00823714"/>
    <w:rsid w:val="00845D16"/>
    <w:rsid w:val="00857F46"/>
    <w:rsid w:val="008A3AFD"/>
    <w:rsid w:val="008D6911"/>
    <w:rsid w:val="008F3E90"/>
    <w:rsid w:val="008F516F"/>
    <w:rsid w:val="00904036"/>
    <w:rsid w:val="009072F7"/>
    <w:rsid w:val="009233CF"/>
    <w:rsid w:val="009362B9"/>
    <w:rsid w:val="00947F4F"/>
    <w:rsid w:val="00961923"/>
    <w:rsid w:val="009B5E64"/>
    <w:rsid w:val="009D3B91"/>
    <w:rsid w:val="009E0EE9"/>
    <w:rsid w:val="009F3E82"/>
    <w:rsid w:val="00A34C96"/>
    <w:rsid w:val="00A622AC"/>
    <w:rsid w:val="00A85386"/>
    <w:rsid w:val="00AA7492"/>
    <w:rsid w:val="00B1245B"/>
    <w:rsid w:val="00B30272"/>
    <w:rsid w:val="00BD1C0F"/>
    <w:rsid w:val="00C128E2"/>
    <w:rsid w:val="00C52A71"/>
    <w:rsid w:val="00CB58E4"/>
    <w:rsid w:val="00CD136C"/>
    <w:rsid w:val="00CF2A8D"/>
    <w:rsid w:val="00D008B9"/>
    <w:rsid w:val="00D979EB"/>
    <w:rsid w:val="00E171C8"/>
    <w:rsid w:val="00E51695"/>
    <w:rsid w:val="00E71DE8"/>
    <w:rsid w:val="00E8169A"/>
    <w:rsid w:val="00EF6DF3"/>
    <w:rsid w:val="00F565E8"/>
    <w:rsid w:val="00F82031"/>
    <w:rsid w:val="00F95051"/>
    <w:rsid w:val="00FB5889"/>
    <w:rsid w:val="00FD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9664"/>
  <w15:chartTrackingRefBased/>
  <w15:docId w15:val="{76EAA91A-ABD8-4B19-937D-E6F75146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16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16F"/>
    <w:pPr>
      <w:spacing w:after="0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16F"/>
    <w:pPr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F516F"/>
    <w:rPr>
      <w:rFonts w:ascii="Times New Roman" w:hAnsi="Times New Roman" w:cs="Times New Roman"/>
      <w:b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F516F"/>
    <w:rPr>
      <w:rFonts w:ascii="Times New Roman" w:hAnsi="Times New Roman" w:cs="Times New Roman"/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1245B"/>
    <w:rPr>
      <w:color w:val="808080"/>
    </w:rPr>
  </w:style>
  <w:style w:type="table" w:styleId="TableGrid">
    <w:name w:val="Table Grid"/>
    <w:basedOn w:val="TableNormal"/>
    <w:uiPriority w:val="39"/>
    <w:rsid w:val="00145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6135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Loo</dc:creator>
  <cp:keywords/>
  <dc:description/>
  <cp:lastModifiedBy>Candice Loo</cp:lastModifiedBy>
  <cp:revision>86</cp:revision>
  <cp:lastPrinted>2019-01-30T11:57:00Z</cp:lastPrinted>
  <dcterms:created xsi:type="dcterms:W3CDTF">2018-11-30T08:56:00Z</dcterms:created>
  <dcterms:modified xsi:type="dcterms:W3CDTF">2019-01-30T13:02:00Z</dcterms:modified>
</cp:coreProperties>
</file>