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Technical Brief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Multi-Agent Framework for ML Model Evaluation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 Practical Implementation Guide for Hack Week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Hack Days — Touchbase | April 2026</w:t>
      </w:r>
    </w:p>
    <w:p>
      <w:pPr>
        <w:spacing w:after="80"/>
        <w:jc w:val="center"/>
      </w:pPr>
      <w:r>
        <w:rPr>
          <w:b/>
          <w:bCs/>
        </w:rPr>
        <w:t xml:space="preserve">Author: </w:t>
      </w:r>
      <w:r>
        <w:t xml:space="preserve">Sean Lewis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Executive Summary</w:t>
      </w:r>
    </w:p>
    <w:p>
      <w:pPr>
        <w:spacing w:after="120" w:line="276"/>
      </w:pPr>
      <w:r>
        <w:t xml:space="preserve">This technical brief distills findings from fourteen research papers into a practical blueprint for building a multi-agent framework that automates scikit-learn model evaluation and improvement. The system uses four collaborating LLM agents—Planning, Execution, Evaluation, and Critic—to iteratively improve cross-validated out-of-sample performance given human-provided ideas and a baseline model.</w:t>
      </w:r>
    </w:p>
    <w:p>
      <w:pPr>
        <w:spacing w:after="120" w:line="276"/>
      </w:pPr>
      <w:r>
        <w:t xml:space="preserve">Key recommendations: use </w:t>
      </w:r>
      <w:r>
        <w:rPr>
          <w:b/>
          <w:bCs/>
        </w:rPr>
        <w:t xml:space="preserve">CrewAI</w:t>
      </w:r>
      <w:r>
        <w:t xml:space="preserve"> for rapid prototyping (or </w:t>
      </w:r>
      <w:r>
        <w:rPr>
          <w:b/>
          <w:bCs/>
        </w:rPr>
        <w:t xml:space="preserve">LangGraph</w:t>
      </w:r>
      <w:r>
        <w:t xml:space="preserve"> if the team has prior experience), integrate with </w:t>
      </w:r>
      <w:r>
        <w:rPr>
          <w:b/>
          <w:bCs/>
        </w:rPr>
        <w:t xml:space="preserve">MLflow</w:t>
      </w:r>
      <w:r>
        <w:t xml:space="preserve"> for experiment tracking and </w:t>
      </w:r>
      <w:r>
        <w:rPr>
          <w:b/>
          <w:bCs/>
        </w:rPr>
        <w:t xml:space="preserve">Optuna</w:t>
      </w:r>
      <w:r>
        <w:t xml:space="preserve"> for hyperparameter optimization, and implement a </w:t>
      </w:r>
      <w:r>
        <w:rPr>
          <w:b/>
          <w:bCs/>
        </w:rPr>
        <w:t xml:space="preserve">ReAct-based execution loop</w:t>
      </w:r>
      <w:r>
        <w:t xml:space="preserve"> with </w:t>
      </w:r>
      <w:r>
        <w:rPr>
          <w:b/>
          <w:bCs/>
        </w:rPr>
        <w:t xml:space="preserve">LLM-as-a-Judge evaluation</w:t>
      </w:r>
      <w:r>
        <w:t xml:space="preserve"> and </w:t>
      </w:r>
      <w:r>
        <w:rPr>
          <w:b/>
          <w:bCs/>
        </w:rPr>
        <w:t xml:space="preserve">self-consistency validation</w:t>
      </w:r>
      <w:r>
        <w:t xml:space="preserve">. The framework is scoped for a five-day Hack Week sprint, starting with performance-metric-only evaluation (Option 1) and designed to extend to structured and unstructured evaluation criteria.</w:t>
      </w:r>
    </w:p>
    <w:p>
      <w:pPr>
        <w:pStyle w:val="Heading1"/>
        <w:spacing w:after="200" w:before="360"/>
      </w:pPr>
      <w:r>
        <w:t xml:space="preserve">2. Key Techniques from the Literature</w:t>
      </w:r>
    </w:p>
    <w:p>
      <w:pPr>
        <w:spacing w:after="120" w:line="276"/>
      </w:pPr>
      <w:r>
        <w:t xml:space="preserve">Fourteen papers inform the framework design. Here are the six most impactful techniques and where they apply: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Paper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It’s Used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Plan-and-Solve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Wang et al. (2023)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Decomposes complex tasks into step-by-step plans, reducing errors by 70%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Planning Agent strategy formulation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Loop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Yao et al. (2023)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Interleaves reasoning with code execution and result observation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Execution Agent model training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Self-Consistency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Wang et al. (2023)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Samples diverse reasoning paths, selects via majority vote (+22pts accuracy)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 Agent validation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Mixture-of-Agents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Wang et al. (2024)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Layered multi-LLM synthesis that outperforms GPT-4 with open-source models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Synthesis layer for aggregating agent outputs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LLM-as-Judge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Zheng et al. (2023)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Uses LLMs to evaluate model quality with 80% human agreement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Agent assessment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Bootstrap CI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Efron &amp; Hastie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confidence intervals for distinguishing signal from noise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validation of improvements</w:t>
            </w:r>
          </w:p>
        </w:tc>
      </w:tr>
    </w:tbl>
    <w:p>
      <w:pPr>
        <w:spacing w:after="240" w:before="80"/>
        <w:jc w:val="center"/>
      </w:pPr>
      <w:r>
        <w:rPr>
          <w:i/>
          <w:iCs/>
        </w:rPr>
        <w:t xml:space="preserve">Table 1: Core techniques and their application in the framework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Framework Architecture</w:t>
      </w:r>
    </w:p>
    <w:p>
      <w:pPr>
        <w:spacing w:after="120" w:line="276"/>
      </w:pPr>
      <w:r>
        <w:t xml:space="preserve">The framework consists of four specialized agents coordinated by an Orchestrator through an iterative improvement loop:</w:t>
      </w:r>
    </w:p>
    <w:p>
      <w:pPr>
        <w:spacing w:after="120" w:before="240"/>
        <w:jc w:val="center"/>
      </w:pPr>
      <w:r>
        <w:drawing>
          <wp:inline distT="0" distB="0" distL="0" distR="0">
            <wp:extent cx="5905500" cy="4286250"/>
            <wp:effectExtent t="0" r="0" b="0" l="0"/>
            <wp:docPr id="1" name="Architecture" descr="High-level architecture diagram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</w:rPr>
        <w:t xml:space="preserve">Figure 1: High-Level Multi-Agent Architecture</w:t>
      </w:r>
    </w:p>
    <w:p>
      <w:pPr>
        <w:pStyle w:val="Heading2"/>
        <w:spacing w:after="200" w:before="360"/>
      </w:pPr>
      <w:r>
        <w:t xml:space="preserve">3.1 Agent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234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Prompting 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 Model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Manages improvement cycle, routes tasks, maintains Research 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MoE Routing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 / Claude Opus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Translates human ideas into executable strategies with step-by-step plans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Plan-and-Solve + CoT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 / Claude Opus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Generates and runs Python code, trains models, collects results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 / Claude Sonnet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Assesses performance with metrics, diagnostics, and LLM judging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LLM-as-Judge + CoT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 / Claude Opus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Adversarial review, validates conclusions, checks for data leakage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Self-Consistency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 / Claude Opus</w:t>
            </w:r>
          </w:p>
        </w:tc>
      </w:tr>
    </w:tbl>
    <w:p>
      <w:pPr>
        <w:spacing w:after="240" w:before="80"/>
        <w:jc w:val="center"/>
      </w:pPr>
      <w:r>
        <w:rPr>
          <w:i/>
          <w:iCs/>
        </w:rPr>
        <w:t xml:space="preserve">Table 2: Agent roles, prompting strategies, and model recommendations</w:t>
      </w:r>
    </w:p>
    <w:p>
      <w:pPr>
        <w:pStyle w:val="Heading2"/>
        <w:spacing w:after="200" w:before="360"/>
      </w:pPr>
      <w:r>
        <w:t xml:space="preserve">3.2 Iterative Improvement Flow</w:t>
      </w:r>
    </w:p>
    <w:p>
      <w:pPr>
        <w:spacing w:after="120" w:before="24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Flow" descr="Iterative improvement flow diagram" title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</w:rPr>
        <w:t xml:space="preserve">Figure 2: Iterative Model Improvement Cycle</w:t>
      </w:r>
    </w:p>
    <w:p>
      <w:pPr>
        <w:spacing w:after="120" w:line="276"/>
      </w:pPr>
      <w:r>
        <w:t xml:space="preserve">Each improvement cycle follows four phases: (1) the </w:t>
      </w:r>
      <w:r>
        <w:rPr>
          <w:b/>
          <w:bCs/>
        </w:rPr>
        <w:t xml:space="preserve">Planning Agent</w:t>
      </w:r>
      <w:r>
        <w:t xml:space="preserve"> decomposes the human’s idea into an executable strategy; (2) the </w:t>
      </w:r>
      <w:r>
        <w:rPr>
          <w:b/>
          <w:bCs/>
        </w:rPr>
        <w:t xml:space="preserve">Execution Agent</w:t>
      </w:r>
      <w:r>
        <w:t xml:space="preserve"> implements the changes via a ReAct loop of Thought→Action→Observation; (3) the </w:t>
      </w:r>
      <w:r>
        <w:rPr>
          <w:b/>
          <w:bCs/>
        </w:rPr>
        <w:t xml:space="preserve">Evaluation Agent</w:t>
      </w:r>
      <w:r>
        <w:t xml:space="preserve"> assesses whether performance improved using cross-validated metrics and bootstrap confidence intervals; (4) the </w:t>
      </w:r>
      <w:r>
        <w:rPr>
          <w:b/>
          <w:bCs/>
        </w:rPr>
        <w:t xml:space="preserve">Critic Agent</w:t>
      </w:r>
      <w:r>
        <w:t xml:space="preserve"> validates the evaluation through self-consistency sampling and adversarial challenge. If the Critic approves, outputs are generated. If not, the cycle re-enters Planning with specific feedback.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Implementation Guide</w:t>
      </w:r>
    </w:p>
    <w:p>
      <w:pPr>
        <w:pStyle w:val="Heading2"/>
        <w:spacing w:after="200" w:before="360"/>
      </w:pPr>
      <w:r>
        <w:t xml:space="preserve">4.1 Tech Stack Recommendation</w:t>
      </w:r>
    </w:p>
    <w:p>
      <w:pPr>
        <w:spacing w:after="120" w:line="276"/>
      </w:pPr>
      <w:r>
        <w:rPr>
          <w:b/>
          <w:bCs/>
        </w:rPr>
        <w:t xml:space="preserve">Primary: CrewAI</w:t>
      </w:r>
      <w:r>
        <w:t xml:space="preserve"> — Best fit for Hack Week due to its gentle learning curve and role-based agent definition that maps naturally to our four-agent architecture. Agents are defined declaratively with roles, goals, and backstories, making it intuitive for team members new to multi-agent frameworks.</w:t>
      </w:r>
    </w:p>
    <w:p>
      <w:pPr>
        <w:spacing w:after="120" w:line="276"/>
      </w:pPr>
      <w:r>
        <w:rPr>
          <w:b/>
          <w:bCs/>
        </w:rPr>
        <w:t xml:space="preserve">Alternative: LangGraph</w:t>
      </w:r>
      <w:r>
        <w:t xml:space="preserve"> — Superior for the long-term product. Its graph-based orchestration natively supports the iterative loops and conditional branching our framework requires. Recommended if any team member has prior LangGraph experience.</w:t>
      </w:r>
    </w:p>
    <w:p>
      <w:pPr>
        <w:spacing w:after="120" w:line="276"/>
      </w:pPr>
      <w:r>
        <w:rPr>
          <w:b/>
          <w:bCs/>
        </w:rPr>
        <w:t xml:space="preserve">Fallback: Direct API</w:t>
      </w:r>
      <w:r>
        <w:t xml:space="preserve"> — Maximum flexibility and lowest token overhead. Use if credit constraints are severe, since wrapper frameworks add system prompt and coordination overhead per call.</w:t>
      </w:r>
    </w:p>
    <w:p>
      <w:pPr>
        <w:pStyle w:val="Heading2"/>
        <w:spacing w:after="200" w:before="360"/>
      </w:pPr>
      <w:r>
        <w:t xml:space="preserve">4.2 Integration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 Framework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Pre-built model pipelines (classification / regression)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Experiment Tracking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MLflow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parameters, metrics, artifacts; generate HTML reports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Hyperparameter Opt.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Optuna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Bayesian optimization with visualization history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SHAP + matplotlib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SHAP values, PDP plots, feature importance, interactions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+ PyGithub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Intermittent PR commits with agent-generated descriptions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 + coverage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 generation and pass-rate reporting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Coding Assistant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Routine coding tasks (save API credits for agent framework)</w:t>
            </w:r>
          </w:p>
        </w:tc>
      </w:tr>
    </w:tbl>
    <w:p>
      <w:pPr>
        <w:spacing w:after="240" w:before="80"/>
        <w:jc w:val="center"/>
      </w:pPr>
      <w:r>
        <w:rPr>
          <w:i/>
          <w:iCs/>
        </w:rPr>
        <w:t xml:space="preserve">Table 3: Integration stack</w:t>
      </w:r>
    </w:p>
    <w:p>
      <w:pPr>
        <w:pStyle w:val="Heading2"/>
        <w:spacing w:after="200" w:before="360"/>
      </w:pPr>
      <w:r>
        <w:t xml:space="preserve">4.3 Inputs and Outputs</w:t>
      </w:r>
    </w:p>
    <w:p>
      <w:pPr>
        <w:pStyle w:val="Heading3"/>
        <w:spacing w:after="200" w:before="360"/>
      </w:pPr>
      <w:r>
        <w:t xml:space="preserve">System Inputs:</w:t>
      </w:r>
    </w:p>
    <w:p>
      <w:pPr>
        <w:spacing w:after="120" w:line="276"/>
      </w:pPr>
      <w:r>
        <w:t xml:space="preserve">Model metadata (scikit-learn, classification vs. regression), pre-built model code and pipelines, pre-existing dataset, and cross-validation performance functions already in the repository.</w:t>
      </w:r>
    </w:p>
    <w:p>
      <w:pPr>
        <w:pStyle w:val="Heading3"/>
        <w:spacing w:after="200" w:before="360"/>
      </w:pPr>
      <w:r>
        <w:t xml:space="preserve">Human Inputs:</w:t>
      </w:r>
    </w:p>
    <w:p>
      <w:pPr>
        <w:spacing w:after="120" w:line="276"/>
      </w:pPr>
      <w:r>
        <w:t xml:space="preserve">Ideas for testing (feature engineering, hyperparameter tweaks, model architecture changes), performance function references (e.g., standard ASE function in the repo), and feedback during mid-cycle reviews.</w:t>
      </w:r>
    </w:p>
    <w:p>
      <w:pPr>
        <w:pStyle w:val="Heading3"/>
        <w:spacing w:after="200" w:before="360"/>
      </w:pPr>
      <w:r>
        <w:t xml:space="preserve">Outputs: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 Report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MLflow-generated dashboard with run comparisons and artifact visualization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Model + Metadata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Serialized model with parameters, metrics, and lineage tracked in MLflow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Change Report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Markdown guide detailing what the human reviewer needs to check in the PR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Diagnostics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SHAP/PDP charts, interaction plots, Optuna history, feature importance (gain + split), categorical distributions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Metrics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tables (HTML) and structured JSON with bootstrap confidence intervals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 Report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percentage for generated/adjusted code via pytest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Results Explanation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LLM-generated narrative explaining why the final model was chosen</w:t>
            </w:r>
          </w:p>
        </w:tc>
      </w:tr>
    </w:tbl>
    <w:p>
      <w:pPr>
        <w:spacing w:after="240" w:before="80"/>
        <w:jc w:val="center"/>
      </w:pPr>
      <w:r>
        <w:rPr>
          <w:i/>
          <w:iCs/>
        </w:rPr>
        <w:t xml:space="preserve">Table 4: Framework output specification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Resource and Credit Allocation</w:t>
      </w:r>
    </w:p>
    <w:p>
      <w:pPr>
        <w:spacing w:after="120" w:line="276"/>
      </w:pPr>
      <w:r>
        <w:t xml:space="preserve">Recommended credit split: </w:t>
      </w:r>
      <w:r>
        <w:rPr>
          <w:b/>
          <w:bCs/>
        </w:rPr>
        <w:t xml:space="preserve">20% development</w:t>
      </w:r>
      <w:r>
        <w:t xml:space="preserve"> (prompt engineering, agent config), </w:t>
      </w:r>
      <w:r>
        <w:rPr>
          <w:b/>
          <w:bCs/>
        </w:rPr>
        <w:t xml:space="preserve">50% testing</w:t>
      </w:r>
      <w:r>
        <w:t xml:space="preserve"> (framework vs. baseline runs), </w:t>
      </w:r>
      <w:r>
        <w:rPr>
          <w:b/>
          <w:bCs/>
        </w:rPr>
        <w:t xml:space="preserve">30% reserved</w:t>
      </w:r>
      <w:r>
        <w:t xml:space="preserve"> (real work, demos). Cost optimization strategies:</w:t>
      </w:r>
    </w:p>
    <w:p>
      <w:pPr>
        <w:spacing w:after="120" w:line="276"/>
      </w:pPr>
      <w:r>
        <w:rPr>
          <w:b/>
          <w:bCs/>
        </w:rPr>
        <w:t xml:space="preserve">Tiered model usage: </w:t>
      </w:r>
      <w:r>
        <w:t xml:space="preserve">Use cheaper models (GPT-3.5-turbo, Claude Haiku) for the Execution Agent’s code generation and Critic’s initial screening. Reserve frontier models (GPT-4, Claude Opus) for Planning and final Evaluation.</w:t>
      </w:r>
    </w:p>
    <w:p>
      <w:pPr>
        <w:spacing w:after="120" w:line="276"/>
      </w:pPr>
      <w:r>
        <w:rPr>
          <w:b/>
          <w:bCs/>
        </w:rPr>
        <w:t xml:space="preserve">Caching: </w:t>
      </w:r>
      <w:r>
        <w:t xml:space="preserve">Cache LLM responses for identical queries. Many improvement strategies share common sub-steps that can be reused.</w:t>
      </w:r>
    </w:p>
    <w:p>
      <w:pPr>
        <w:spacing w:after="120" w:line="276"/>
      </w:pPr>
      <w:r>
        <w:rPr>
          <w:b/>
          <w:bCs/>
        </w:rPr>
        <w:t xml:space="preserve">Iteration limits: </w:t>
      </w:r>
      <w:r>
        <w:t xml:space="preserve">Cap improvement cycles at 5 per run to prevent runaway credit consumption.</w:t>
      </w:r>
    </w:p>
    <w:p>
      <w:pPr>
        <w:spacing w:after="120" w:line="276"/>
      </w:pPr>
      <w:r>
        <w:rPr>
          <w:b/>
          <w:bCs/>
        </w:rPr>
        <w:t xml:space="preserve">Copilot leverage: </w:t>
      </w:r>
      <w:r>
        <w:t xml:space="preserve">Use GitHub Copilot for boilerplate code, saving API credits for the multi-agent intelligence layer.</w:t>
      </w:r>
    </w:p>
    <w:p>
      <w:pPr>
        <w:pStyle w:val="Heading1"/>
        <w:spacing w:after="200" w:before="360"/>
      </w:pPr>
      <w:r>
        <w:t xml:space="preserve">6. Hack Week Execution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Activities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Finalize tech stack, get API keys, set up dev environment, configure MLflow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Working dev environment with API access confirmed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baseline model on Jonathan’s project, document CV performance, set up GitHub repo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 model with documented cross-validated metrics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Planning + Execution Agents, test with 2-3 simple improvement ideas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Working Plan→Execute pipeline with basic improvements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Evaluation + Critic Agents, implement iterative loop, measure speed/cost/accuracy delta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4-agent loop producing measurable improvements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full output suite, run comparative analysis, prepare demo for stakeholders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outputs: report, model, PR, diagnostics, tests, explanation</w:t>
            </w:r>
          </w:p>
        </w:tc>
      </w:tr>
    </w:tbl>
    <w:p>
      <w:pPr>
        <w:spacing w:after="240" w:before="80"/>
        <w:jc w:val="center"/>
      </w:pPr>
      <w:r>
        <w:rPr>
          <w:i/>
          <w:iCs/>
        </w:rPr>
        <w:t xml:space="preserve">Table 5: Day-by-day execution plan</w:t>
      </w:r>
    </w:p>
    <w:p>
      <w:pPr>
        <w:spacing w:after="120" w:line="276"/>
      </w:pPr>
      <w:r>
        <w:rPr>
          <w:b/>
          <w:bCs/>
        </w:rPr>
        <w:t xml:space="preserve">Daily Syncs: </w:t>
      </w:r>
      <w:r>
        <w:t xml:space="preserve">1 hour/day at 3 PM PST / 4 PM MDT. Review: accomplishments, output quality, credit consumption, blockers, and next steps.</w:t>
      </w:r>
    </w:p>
    <w:p>
      <w:pPr>
        <w:pStyle w:val="Heading1"/>
        <w:spacing w:after="200" w:before="360"/>
      </w:pPr>
      <w:r>
        <w:t xml:space="preserve">7. Evaluation Framework: Three Levels</w:t>
      </w:r>
    </w:p>
    <w:p>
      <w:pPr>
        <w:spacing w:after="120" w:line="276"/>
      </w:pPr>
      <w:r>
        <w:rPr>
          <w:b/>
          <w:bCs/>
        </w:rPr>
        <w:t xml:space="preserve">Option 1 (Hack Week): </w:t>
      </w:r>
      <w:r>
        <w:t xml:space="preserve">Performance metric only. Cross-validated OS performance assessed with bootstrap confidence intervals. Simplest, most objective.</w:t>
      </w:r>
    </w:p>
    <w:p>
      <w:pPr>
        <w:spacing w:after="120" w:line="276"/>
      </w:pPr>
      <w:r>
        <w:rPr>
          <w:b/>
          <w:bCs/>
        </w:rPr>
        <w:t xml:space="preserve">Option 2 (Post-Hack): </w:t>
      </w:r>
      <w:r>
        <w:t xml:space="preserve">Performance metric + structured output. Adds domain-specific rubrics (monotonicity constraints, interpretability thresholds) evaluated via LLM-as-a-Judge.</w:t>
      </w:r>
    </w:p>
    <w:p>
      <w:pPr>
        <w:spacing w:after="120" w:line="276"/>
      </w:pPr>
      <w:r>
        <w:rPr>
          <w:b/>
          <w:bCs/>
        </w:rPr>
        <w:t xml:space="preserve">Option 3 (Scale): </w:t>
      </w:r>
      <w:r>
        <w:t xml:space="preserve">Performance metric + structured + unstructured. Incorporates natural-language heuristics from Dave, Nick, and Edward as personalized evaluation perspectives in the MoA synthesis layer.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References</w:t>
      </w:r>
    </w:p>
    <w:p>
      <w:pPr>
        <w:spacing w:after="80"/>
        <w:ind w:left="480" w:hanging="480"/>
      </w:pPr>
      <w:r>
        <w:rPr>
          <w:b/>
          <w:bCs/>
        </w:rPr>
        <w:t xml:space="preserve">[1] </w:t>
      </w:r>
      <w:r>
        <w:rPr>
          <w:sz w:val="20"/>
          <w:szCs w:val="20"/>
        </w:rPr>
        <w:t xml:space="preserve">Wei, J. et al. (2022). Chain-of-Thought Prompting Elicits Reasoning in Large Language Models. NeurIPS.</w:t>
      </w:r>
    </w:p>
    <w:p>
      <w:pPr>
        <w:spacing w:after="80"/>
        <w:ind w:left="480" w:hanging="480"/>
      </w:pPr>
      <w:r>
        <w:rPr>
          <w:b/>
          <w:bCs/>
        </w:rPr>
        <w:t xml:space="preserve">[2] </w:t>
      </w:r>
      <w:r>
        <w:rPr>
          <w:sz w:val="20"/>
          <w:szCs w:val="20"/>
        </w:rPr>
        <w:t xml:space="preserve">Wang, L. et al. (2023). Plan-and-Solve Prompting. ACL.</w:t>
      </w:r>
    </w:p>
    <w:p>
      <w:pPr>
        <w:spacing w:after="80"/>
        <w:ind w:left="480" w:hanging="480"/>
      </w:pPr>
      <w:r>
        <w:rPr>
          <w:b/>
          <w:bCs/>
        </w:rPr>
        <w:t xml:space="preserve">[3] </w:t>
      </w:r>
      <w:r>
        <w:rPr>
          <w:sz w:val="20"/>
          <w:szCs w:val="20"/>
        </w:rPr>
        <w:t xml:space="preserve">Yao, S. et al. (2023). ReAct: Synergizing Reasoning and Acting in Language Models. ICLR.</w:t>
      </w:r>
    </w:p>
    <w:p>
      <w:pPr>
        <w:spacing w:after="80"/>
        <w:ind w:left="480" w:hanging="480"/>
      </w:pPr>
      <w:r>
        <w:rPr>
          <w:b/>
          <w:bCs/>
        </w:rPr>
        <w:t xml:space="preserve">[4] </w:t>
      </w:r>
      <w:r>
        <w:rPr>
          <w:sz w:val="20"/>
          <w:szCs w:val="20"/>
        </w:rPr>
        <w:t xml:space="preserve">Wang, X. et al. (2023). Self-Consistency Improves Chain of Thought Reasoning. ICLR.</w:t>
      </w:r>
    </w:p>
    <w:p>
      <w:pPr>
        <w:spacing w:after="80"/>
        <w:ind w:left="480" w:hanging="480"/>
      </w:pPr>
      <w:r>
        <w:rPr>
          <w:b/>
          <w:bCs/>
        </w:rPr>
        <w:t xml:space="preserve">[5] </w:t>
      </w:r>
      <w:r>
        <w:rPr>
          <w:sz w:val="20"/>
          <w:szCs w:val="20"/>
        </w:rPr>
        <w:t xml:space="preserve">Wang, J. et al. (2024). Mixture-of-Agents Enhances Large Language Model Capabilities.</w:t>
      </w:r>
    </w:p>
    <w:p>
      <w:pPr>
        <w:spacing w:after="80"/>
        <w:ind w:left="480" w:hanging="480"/>
      </w:pPr>
      <w:r>
        <w:rPr>
          <w:b/>
          <w:bCs/>
        </w:rPr>
        <w:t xml:space="preserve">[6] </w:t>
      </w:r>
      <w:r>
        <w:rPr>
          <w:sz w:val="20"/>
          <w:szCs w:val="20"/>
        </w:rPr>
        <w:t xml:space="preserve">Mienye, I. D. &amp; Swart, T. G. Ensemble Large Language Models: A Survey.</w:t>
      </w:r>
    </w:p>
    <w:p>
      <w:pPr>
        <w:spacing w:after="80"/>
        <w:ind w:left="480" w:hanging="480"/>
      </w:pPr>
      <w:r>
        <w:rPr>
          <w:b/>
          <w:bCs/>
        </w:rPr>
        <w:t xml:space="preserve">[7] </w:t>
      </w:r>
      <w:r>
        <w:rPr>
          <w:sz w:val="20"/>
          <w:szCs w:val="20"/>
        </w:rPr>
        <w:t xml:space="preserve">Zhou, H. et al. (2024). Star-Agents: Automatic Data Optimization. NeurIPS.</w:t>
      </w:r>
    </w:p>
    <w:p>
      <w:pPr>
        <w:spacing w:after="80"/>
        <w:ind w:left="480" w:hanging="480"/>
      </w:pPr>
      <w:r>
        <w:rPr>
          <w:b/>
          <w:bCs/>
        </w:rPr>
        <w:t xml:space="preserve">[8] </w:t>
      </w:r>
      <w:r>
        <w:rPr>
          <w:sz w:val="20"/>
          <w:szCs w:val="20"/>
        </w:rPr>
        <w:t xml:space="preserve">Zheng, L. et al. (2023). Judging LLM-as-a-Judge with MT-Bench and Chatbot Arena.</w:t>
      </w:r>
    </w:p>
    <w:p>
      <w:pPr>
        <w:spacing w:after="80"/>
        <w:ind w:left="480" w:hanging="480"/>
      </w:pPr>
      <w:r>
        <w:rPr>
          <w:b/>
          <w:bCs/>
        </w:rPr>
        <w:t xml:space="preserve">[9] </w:t>
      </w:r>
      <w:r>
        <w:rPr>
          <w:sz w:val="20"/>
          <w:szCs w:val="20"/>
        </w:rPr>
        <w:t xml:space="preserve">MLAgentBench: Benchmarking Large Language Models as AI Research Agents. ICLR (under review).</w:t>
      </w:r>
    </w:p>
    <w:p>
      <w:pPr>
        <w:spacing w:after="80"/>
        <w:ind w:left="480" w:hanging="480"/>
      </w:pPr>
      <w:r>
        <w:rPr>
          <w:b/>
          <w:bCs/>
        </w:rPr>
        <w:t xml:space="preserve">[10] </w:t>
      </w:r>
      <w:r>
        <w:rPr>
          <w:sz w:val="20"/>
          <w:szCs w:val="20"/>
        </w:rPr>
        <w:t xml:space="preserve">Zhou, Y. et al. (2024). Hypothesis Generation with Large Language Models.</w:t>
      </w:r>
    </w:p>
    <w:p>
      <w:pPr>
        <w:spacing w:after="80"/>
        <w:ind w:left="480" w:hanging="480"/>
      </w:pPr>
      <w:r>
        <w:rPr>
          <w:b/>
          <w:bCs/>
        </w:rPr>
        <w:t xml:space="preserve">[11] </w:t>
      </w:r>
      <w:r>
        <w:rPr>
          <w:sz w:val="20"/>
          <w:szCs w:val="20"/>
        </w:rPr>
        <w:t xml:space="preserve">Chaduvula, S. et al. Explainability in Traditional and Agentic AI Systems. Vector Institute.</w:t>
      </w:r>
    </w:p>
    <w:p>
      <w:pPr>
        <w:spacing w:after="80"/>
        <w:ind w:left="480" w:hanging="480"/>
      </w:pPr>
      <w:r>
        <w:rPr>
          <w:b/>
          <w:bCs/>
        </w:rPr>
        <w:t xml:space="preserve">[12] </w:t>
      </w:r>
      <w:r>
        <w:rPr>
          <w:sz w:val="20"/>
          <w:szCs w:val="20"/>
        </w:rPr>
        <w:t xml:space="preserve">Saichandran, K. S. et al. (2025). Agentic AI for Automated Hypothesis Testing in ADRD. medRxiv.</w:t>
      </w:r>
    </w:p>
    <w:p>
      <w:pPr>
        <w:spacing w:after="80"/>
        <w:ind w:left="480" w:hanging="480"/>
      </w:pPr>
      <w:r>
        <w:rPr>
          <w:b/>
          <w:bCs/>
        </w:rPr>
        <w:t xml:space="preserve">[13] </w:t>
      </w:r>
      <w:r>
        <w:rPr>
          <w:sz w:val="20"/>
          <w:szCs w:val="20"/>
        </w:rPr>
        <w:t xml:space="preserve">Efron, B. &amp; Hastie, T. (2016/2021). Computer Age Statistical Inference. Cambridge.</w:t>
      </w:r>
    </w:p>
    <w:p>
      <w:pPr>
        <w:spacing w:after="80"/>
        <w:ind w:left="480" w:hanging="480"/>
      </w:pPr>
      <w:r>
        <w:rPr>
          <w:b/>
          <w:bCs/>
        </w:rPr>
        <w:t xml:space="preserve">[14] </w:t>
      </w:r>
      <w:r>
        <w:rPr>
          <w:sz w:val="20"/>
          <w:szCs w:val="20"/>
        </w:rPr>
        <w:t xml:space="preserve">Pearl, J. (2018). On Non-manipulable Causes. Journal of Causal Inference.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Technical Brief — Multi-Agent ML Evaluator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d4b6b63e166835819ae6cfe898bb9f7e1df4e24.png"/><Relationship Id="rId10" Type="http://schemas.openxmlformats.org/officeDocument/2006/relationships/image" Target="media/8525e6f37fedd33421871cdb70d4f452c9bf8fd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2026-04-14T18:44:26.934Z</dcterms:created>
  <dcterms:modified xsi:type="dcterms:W3CDTF">2026-04-14T18:44:26.934Z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