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ETL/ELT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engineering experience delivering robust Python/SQL data pipelines, cloud data platforms, and analytics-ready datasets. Strong in ETL/ELT architecture, workflow reliability, data quality controls, and performance tuning across large-scale environments. Hands-on with Spark-based processing, orchestration patterns, and governance-aware delivery in regulated contexts. Effective cross-functional partner for analytics, product, and engineering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maintained production SQL/Python ETL/ELT pipelines for high-volume telemetry and operational datasets.</w:t>
      </w:r>
    </w:p>
    <w:p>
      <w:pPr>
        <w:pStyle w:val="ListBullet"/>
      </w:pPr>
      <w:r>
        <w:rPr>
          <w:rFonts w:ascii="Arial" w:hAnsi="Arial"/>
          <w:sz w:val="22"/>
        </w:rPr>
        <w:t>Built scalable cloud data workflows and optimized query/storage patterns for analytics performance and reliability.</w:t>
      </w:r>
    </w:p>
    <w:p>
      <w:pPr>
        <w:pStyle w:val="ListBullet"/>
      </w:pPr>
      <w:r>
        <w:rPr>
          <w:rFonts w:ascii="Arial" w:hAnsi="Arial"/>
          <w:sz w:val="22"/>
        </w:rPr>
        <w:t>Implemented automated validation, monitoring, and fault-handling to improve data trust and reduce pipeline incidents.</w:t>
      </w:r>
    </w:p>
    <w:p>
      <w:pPr>
        <w:pStyle w:val="ListBullet"/>
      </w:pPr>
      <w:r>
        <w:rPr>
          <w:rFonts w:ascii="Arial" w:hAnsi="Arial"/>
          <w:sz w:val="22"/>
        </w:rPr>
        <w:t>Collaborated with architecture, analytics, and business stakeholders to deliver documented, maintainable data flows.</w:t>
      </w:r>
    </w:p>
    <w:p>
      <w:pPr>
        <w:pStyle w:val="ListBullet"/>
      </w:pPr>
      <w:r>
        <w:rPr>
          <w:rFonts w:ascii="Arial" w:hAnsi="Arial"/>
          <w:sz w:val="22"/>
        </w:rPr>
        <w:t>Applied Spark/PySpark processing patterns for large-scale data transformation and enrichment workloads.</w:t>
      </w:r>
    </w:p>
    <w:p>
      <w:pPr>
        <w:pStyle w:val="ListBullet"/>
      </w:pPr>
      <w:r>
        <w:rPr>
          <w:rFonts w:ascii="Arial" w:hAnsi="Arial"/>
          <w:sz w:val="22"/>
        </w:rPr>
        <w:t>Integrated CI/CD-friendly engineering practices and version-controlled changes for repeatable pipeline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r>
        <w:rPr>
          <w:rFonts w:ascii="Arial" w:hAnsi="Arial"/>
          <w:b/>
          <w:sz w:val="22"/>
        </w:rPr>
        <w:t>Architect / Developer — IRS CADE Project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Conducted UML design and module development for a CICS/MQSeries/XML/DB2 messaging system for IRS modernization.</w:t>
      </w:r>
    </w:p>
    <w:p>
      <w:pPr>
        <w:pStyle w:val="ListBullet"/>
      </w:pPr>
      <w:r>
        <w:rPr>
          <w:rFonts w:ascii="Arial" w:hAnsi="Arial"/>
          <w:sz w:val="22"/>
        </w:rPr>
        <w:t>Developed high-reliability messaging architecture using VC++ and DB2.</w:t>
      </w:r>
    </w:p>
    <w:p>
      <w:r>
        <w:rPr>
          <w:rFonts w:ascii="Arial" w:hAnsi="Arial"/>
          <w:b/>
          <w:sz w:val="22"/>
        </w:rPr>
        <w:t>Developer / Support Engineer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 sockets and Marconi APIs for telecom billing platforms.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20% throughput gain.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(CTEs, window functions, performance tuning), ETL/ELT Pipeline Engineering, Airflow / Workflow Orchestration, Spark / PySpark, AWS Data Platform (S3, Glue, Redshift, Athena), Data Warehousing (Snowflake/Redshift patterns), CI/CD and Git-based delivery, Data Quality, Governance, and Security, Kafka (adjacent)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