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SQL, Python, ETL/data pipelines, data migration, analytics, performance engineering, and production operations. Strong background designing and supporting data solutions across multiple platforms, including AWS S3, Glue, Redshift, Oracle, PySpark/Spark, Pandas, and reporting/forecasting datasets. Known for improving automation, operational readiness, runbooks, monitoring, data quality, and scalable platform support in regulated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endpoints, replacing manual data preparation processes and improving repeatability for analytics and forecasting.</w:t>
      </w:r>
    </w:p>
    <w:p>
      <w:pPr>
        <w:pStyle w:val="ListBullet"/>
      </w:pPr>
      <w:r>
        <w:rPr>
          <w:rFonts w:ascii="Arial" w:hAnsi="Arial"/>
          <w:sz w:val="22"/>
        </w:rPr>
        <w:t>Designed and maintained Oracle schemas and reporting structures for historical telemetry retention, seasonal analysis, and capacity risk forecasting across enterprise infrastructure.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Redshift workloads, and Python automation to support large-scale capacity analytics and data transformation.</w:t>
      </w:r>
    </w:p>
    <w:p>
      <w:pPr>
        <w:pStyle w:val="ListBullet"/>
      </w:pPr>
      <w:r>
        <w:rPr>
          <w:rFonts w:ascii="Arial" w:hAnsi="Arial"/>
          <w:sz w:val="22"/>
        </w:rPr>
        <w:t>Integrated monitoring and operational feeds from BMC TrueSight, CA Wily, and AppDynamics into unified reporting pipelines and executive dashboards.</w:t>
      </w:r>
    </w:p>
    <w:p>
      <w:pPr>
        <w:pStyle w:val="ListBullet"/>
      </w:pPr>
      <w:r>
        <w:rPr>
          <w:rFonts w:ascii="Arial" w:hAnsi="Arial"/>
          <w:sz w:val="22"/>
        </w:rPr>
        <w:t>Improved production support through automation, validation checks, troubleshooting workflows, and operational reporting used for incident prevention and infrastructure planning.</w:t>
      </w:r>
    </w:p>
    <w:p>
      <w:pPr>
        <w:pStyle w:val="ListBullet"/>
      </w:pPr>
      <w:r>
        <w:rPr>
          <w:rFonts w:ascii="Arial" w:hAnsi="Arial"/>
          <w:sz w:val="22"/>
        </w:rPr>
        <w:t>Developed forecasting models with Prophet and scikit-learn to identify capacity bottlenecks months ahead, translating raw operational datasets into actionable planning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critical hospitality systems, supporting operational visibility, transaction tracing, and performance analytics.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AppMon from 6.5 to 7.0 and enforced TLS 1.2 security with no regression in production monitoring during cutover.</w:t>
      </w:r>
    </w:p>
    <w:p>
      <w:pPr>
        <w:pStyle w:val="ListBullet"/>
      </w:pPr>
      <w:r>
        <w:rPr>
          <w:rFonts w:ascii="Arial" w:hAnsi="Arial"/>
          <w:sz w:val="22"/>
        </w:rPr>
        <w:t>Integrated load testing and APM visibility through HP Performance Center and Dynatrace, enabling better diagnosis of application bottlenecks.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 services environment, supporting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as standards across client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reducing manual weekly exports and improving data availability.</w:t>
      </w:r>
    </w:p>
    <w:p>
      <w:pPr>
        <w:pStyle w:val="ListBullet"/>
      </w:pPr>
      <w:r>
        <w:rPr>
          <w:rFonts w:ascii="Arial" w:hAnsi="Arial"/>
          <w:sz w:val="22"/>
        </w:rPr>
        <w:t>Delivered sizing recommendations, onboarding guidance, documentation, and cross-team technical support for enterprise monitoring and performance engineering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utilities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processes during phased migration, reducing risk across platform transition workstreams.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Perl, Ksh / Korn Shell, C++, C, Java,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engine and Streamlit analytics dashboard for enterprise telemetry data, replacing manual forecasting cycles and supporting capacity risk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Pandas,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pattern using S3, Glue, Athena, Redshift, Parquet, and PySpark to support scalable ingestion, transformation, and analytics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agentic workflow for job intake, semantic duplicate detection, scoring, resume/cover generation, quality gates, and application tracking using structured JSON artifacts.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 Pipelines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