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ETL / Data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ETL/Data Engineer with 20+ years of enterprise experience building reliable data pipelines, advanced SQL reporting layers, Unix/Linux automation, and production data platforms. Strong background in Python, SQL, Oracle, AWS Glue/S3/Redshift, PySpark, data warehousing, dimensional modeling, data quality, performance tuning, and operational troubleshooting. Experienced collaborating with business partners, analysts, architects, and engineering teams to document workflows, improve batch processes, and deliver production-ready data solutions.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supported automated Python/Pandas ETL pipelines ingesting P95 telemetry from 6,000+ endpoints, replacing manual reporting processes with repeatable data workflows.</w:t>
      </w:r>
    </w:p>
    <w:p>
      <w:pPr>
        <w:pStyle w:val="ListBullet"/>
      </w:pPr>
      <w:r>
        <w:rPr>
          <w:rFonts w:ascii="Arial" w:hAnsi="Arial"/>
          <w:sz w:val="22"/>
        </w:rPr>
        <w:t>Designed historical Oracle schemas, SQL reporting structures, and retention patterns to support capacity forecasting, operational analytics, and executive-level reporting.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components using S3 landing zones, AWS Glue ETL, Redshift, and Python processing for large-scale telemetry and forecasting workloads.</w:t>
      </w:r>
    </w:p>
    <w:p>
      <w:pPr>
        <w:pStyle w:val="ListBullet"/>
      </w:pPr>
      <w:r>
        <w:rPr>
          <w:rFonts w:ascii="Arial" w:hAnsi="Arial"/>
          <w:sz w:val="22"/>
        </w:rPr>
        <w:t>Performed SQL optimization, data validation, reconciliation, and production troubleshooting to improve reliability and consistency across monitoring, capacity, and reporting datasets.</w:t>
      </w:r>
    </w:p>
    <w:p>
      <w:pPr>
        <w:pStyle w:val="ListBullet"/>
      </w:pPr>
      <w:r>
        <w:rPr>
          <w:rFonts w:ascii="Arial" w:hAnsi="Arial"/>
          <w:sz w:val="22"/>
        </w:rPr>
        <w:t>Collaborated with product, infrastructure, analytics, and business stakeholders to translate operational requirements into documented data workflows, dashboards, and reporting outputs.</w:t>
      </w:r>
    </w:p>
    <w:p>
      <w:pPr>
        <w:pStyle w:val="ListBullet"/>
      </w:pPr>
      <w:r>
        <w:rPr>
          <w:rFonts w:ascii="Arial" w:hAnsi="Arial"/>
          <w:sz w:val="22"/>
        </w:rPr>
        <w:t>Improved operational readiness through automation, runbooks, monitoring feeds, and issue-resolution workflows across enterprise banking infrastructure.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Data-mined real-user and synthetic monitoring datasets from Dynatrace AppMon and Gomez Synthetic Monitoring to surface performance optimization recommendations for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views that converted raw performance telemetry into actionable engineering insights for Brand.com and other revenue-impacting platforms.</w:t>
      </w:r>
    </w:p>
    <w:p>
      <w:pPr>
        <w:pStyle w:val="ListBullet"/>
      </w:pPr>
      <w:r>
        <w:rPr>
          <w:rFonts w:ascii="Arial" w:hAnsi="Arial"/>
          <w:sz w:val="22"/>
        </w:rPr>
        <w:t>Documented monitoring workflows, cutover procedures, and feature changes during Dynatrace 6.5 to 7.0 upgrade and TLS 1.2 migration with no production monitoring regression.</w:t>
      </w:r>
    </w:p>
    <w:p>
      <w:pPr>
        <w:pStyle w:val="ListBullet"/>
      </w:pPr>
      <w:r>
        <w:rPr>
          <w:rFonts w:ascii="Arial" w:hAnsi="Arial"/>
          <w:sz w:val="22"/>
        </w:rPr>
        <w:t>Worked with engineering and operations teams to troubleshoot production issues using transaction tracing, dashboards, and performance data.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that automated performance reporting and reduced reliance on manual weekly exports.</w:t>
      </w:r>
    </w:p>
    <w:p>
      <w:pPr>
        <w:pStyle w:val="ListBullet"/>
      </w:pPr>
      <w:r>
        <w:rPr>
          <w:rFonts w:ascii="Arial" w:hAnsi="Arial"/>
          <w:sz w:val="22"/>
        </w:rPr>
        <w:t>Designed enterprise dashboards, alerts, SLA thresholds, and reporting modules across large-scale CA APM environments with thousands of instrumented agents.</w:t>
      </w:r>
    </w:p>
    <w:p>
      <w:pPr>
        <w:pStyle w:val="ListBullet"/>
      </w:pPr>
      <w:r>
        <w:rPr>
          <w:rFonts w:ascii="Arial" w:hAnsi="Arial"/>
          <w:sz w:val="22"/>
        </w:rPr>
        <w:t>Led upgrades and operational improvements across 50+ Enterprise Managers while coordinating with cross-functional infrastructure, application, and support teams.</w:t>
      </w:r>
    </w:p>
    <w:p>
      <w:pPr>
        <w:pStyle w:val="ListBullet"/>
      </w:pPr>
      <w:r>
        <w:rPr>
          <w:rFonts w:ascii="Arial" w:hAnsi="Arial"/>
          <w:sz w:val="22"/>
        </w:rPr>
        <w:t>Produced technical documentation, onboarding guidance, and client training materials used by internal teams and customer stakeholders.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data integrity and transaction performance.</w:t>
      </w:r>
    </w:p>
    <w:p>
      <w:pPr>
        <w:pStyle w:val="ListBullet"/>
      </w:pPr>
      <w:r>
        <w:rPr>
          <w:rFonts w:ascii="Arial" w:hAnsi="Arial"/>
          <w:sz w:val="22"/>
        </w:rPr>
        <w:t>Optimized SQL and C++/OCCI transaction processing, reducing physical hardware footprint by 95%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validation and test automation to compare migration outputs across large transaction datasets during phased cutover.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routines to support reliable database migration and production readiness.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Perl, Korn Shell / Ksh, C++, Java, XML, JSON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 forecasting and analytics pipeline that transformed enterprise telemetry into capacity insights, replacing manual forecasting cycles with automated data preparation, modeling, and Streamlit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data platform pattern using S3, Glue, Athena, Redshift, Parquet, and PySpark concepts for scalable ingestion, transformation, query optimization, and analytics workloads.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structured JSON generation, quality gates, and application tracking, emphasizing reproducible data contracts and workflow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JSON, Automation,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