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and deep hands-on background in Python, SQL, ETL/ELT, data platforms, and production reporting systems. Experienced building AWS-oriented data pipelines using S3, Glue, Athena, Redshift, Python/Pandas, PySpark, and governed data workflows for regulated banking environments. Strong in data quality, reconciliation, schema design, operational support, documentation, monitoring, and stakeholder-facing analytics for Finance, Technology, and Operations audiences.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infrastructure endpoints, replacing manual reporting processes with automated, repeatable data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ETL, Redshift-based analytics workloads, and governed reporting datasets for capacity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supporting analytics, executive reporting, forecasting, reconciliation, and long-running operational trend analysis.</w:t>
      </w:r>
    </w:p>
    <w:p>
      <w:pPr>
        <w:pStyle w:val="ListBullet"/>
      </w:pPr>
      <w:r>
        <w:rPr>
          <w:rFonts w:ascii="Arial" w:hAnsi="Arial"/>
          <w:sz w:val="22"/>
        </w:rPr>
        <w:t>Implemented data validation and quality checks across telemetry feeds from BMC TrueSight, CA Wily, and AppDynamics to improve trust in recurring reporting cycles and stakeholder-facing dashboards.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processing patterns for large-scale telemetry and forecasting workloads, improving scalability and reducing dependency on manual spreadsheet-driven analysis.</w:t>
      </w:r>
    </w:p>
    <w:p>
      <w:pPr>
        <w:pStyle w:val="ListBullet"/>
      </w:pPr>
      <w:r>
        <w:rPr>
          <w:rFonts w:ascii="Arial" w:hAnsi="Arial"/>
          <w:sz w:val="22"/>
        </w:rPr>
        <w:t>Supported production data operations with monitoring, troubleshooting, documentation, runbooks, change awareness, and recurring reporting reliability in a regulated financial services environment.</w:t>
      </w:r>
    </w:p>
    <w:p>
      <w:pPr>
        <w:pStyle w:val="ListBullet"/>
      </w:pPr>
      <w:r>
        <w:rPr>
          <w:rFonts w:ascii="Arial" w:hAnsi="Arial"/>
          <w:sz w:val="22"/>
        </w:rPr>
        <w:t>Created interactive Streamlit, matplotlib, seaborn, and plotly dashboards surfacing capacity, utilization, and operational risk insights for senior technical and business stakeholders.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used to analyze Brand.com and critical hospitality system performance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produce actionable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EUM and transaction tracing workflows that improved visibility into web and mobile user journeys, enabling better operational reporting and root-cause analysis.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and monitoring readiness assessments, translating platform requirements into practical instrumentation and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an enterprise environment with 50+ Enterprise Managers and 4,000–6,000 instrumented agents, supporting high-volume operational telemetry and reporting needs.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that automated performance reporting, replacing manual weekly exports with repeatable data delivery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and business teams to troubleshoot production issues and translate operational requirements into usable monitoring and reporting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performance and data correctness.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support phased migration cutover, reconciliation, and production readiness.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database access patterns, reducing hardware footprint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and Bedrock concepts to support governed analytics, optimized storage, and AI-assisted access to enterprise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reporting platform for banking-scale telemetry, using Prophet and scikit-learn models with Streamlit dashboards to support capacity planning and executive insight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automation pipeline using Python, vector embeddings, FAISS, LLM APIs, quality gates, and structured JSON artifacts to score, tailor, generate, validate, and track job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Agentic Workflows, JSON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