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/ AI Pipeline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AI pipeline practitioner with 20+ years of enterprise IT experience across AWS data platforms, Python automation, SQL, ETL, observability, and production reporting. Strong fit for AWS conversational analytics and agentic data workflows through hands-on experience with S3, Glue, Athena, Redshift, Bedrock, Python-based pipelines, RAG-style retrieval, LLM integrations, quality gates, and business-facing automation. Known for translating complex operational and analytics requirements into reliable, documented data solutions with monitoring, data quality, and stakeholder trust built in.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endpoints, replacing legacy manual processes with automated, repeatable data delivery for enterprise capacity and reporting use cases.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Athena-style analytical access patterns, and Redshift workloads to support scalable forecasting, reporting,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months ahead, combining data engineering, statistical modeling, validation, and stakeholder-facing reporting.</w:t>
      </w:r>
    </w:p>
    <w:p>
      <w:pPr>
        <w:pStyle w:val="ListBullet"/>
      </w:pPr>
      <w:r>
        <w:rPr>
          <w:rFonts w:ascii="Arial" w:hAnsi="Arial"/>
          <w:sz w:val="22"/>
        </w:rPr>
        <w:t>Created executive dashboards and reporting datasets from BMC TrueSight, CA Wily, AppDynamics, and other monitoring feeds, improving visibility into infrastructure utilization, performance, and operational risk.</w:t>
      </w:r>
    </w:p>
    <w:p>
      <w:pPr>
        <w:pStyle w:val="ListBullet"/>
      </w:pPr>
      <w:r>
        <w:rPr>
          <w:rFonts w:ascii="Arial" w:hAnsi="Arial"/>
          <w:sz w:val="22"/>
        </w:rPr>
        <w:t>Implemented data quality, reconciliation, documentation, monitoring, and troubleshooting practices for recurring reporting cycles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supported CI/CD-aware delivery patterns, operational readiness, and production issue resolution for data processing workloads.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production observability, alerting,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Led the FAST analytics project, data-mining real-user and synthetic performance metrics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systems, improving operational understanding of user-facing performance.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and monitoring readiness assessments, connecting application performance data to engineering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environment, managing enterprise-scale monitoring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exports and improving repeatability.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operational reporting standards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training materials that helped teams adopt monitoring and performance engineering practices.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platform, validating data correctness across phased cutover activities.</w:t>
      </w:r>
    </w:p>
    <w:p>
      <w:pPr>
        <w:pStyle w:val="ListBullet"/>
      </w:pPr>
      <w:r>
        <w:rPr>
          <w:rFonts w:ascii="Arial" w:hAnsi="Arial"/>
          <w:sz w:val="22"/>
        </w:rPr>
        <w:t>Optimized database access and transaction processing using C++, OCCI, SQL, and Oracle performance techniques while maintaining reliability under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automated validation and testing utilities to support data migration accuracy, regression checks, and production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Perl, Korn Shell, JSON, XML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 API, FAISS, and sentence-transformers.</w:t>
        <w:br/>
        <w:t>The workflow performs semantic duplicate detection, job scoring, resume and cover tailoring, quality checks, and application tracking using structured JSON artifacts and reproducible automation.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AI Workflows, MCP, JSON Artifacts,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Redshift, and Bedrock concepts to support analytics, Text-to-SQL, data access, and scalable ETL patterns.</w:t>
        <w:br/>
        <w:t>Focused on data quality, documentation, Parquet optimization, and practical AI/data integration.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AWS Bedrock, PySpark, Parquet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AI-assisted capacity forecasting engine using Python, PySpark, Prophet, scikit-learn, and Streamlit to replace manual forecasting with repeatable data pipelines, predictive analytics, and stakeholder-facing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Forecasting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