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ACCLiiVE supporting the datastore-migration factory from on-prem DataLake environments to an AWS-hosted LakeHouse. My background combines senior data engineering, legacy data migration, Python/SQL/Spark-oriented pipelines, reconciliation, and production data reliability in large enterprise environments.</w:t>
      </w:r>
    </w:p>
    <w:p>
      <w:r>
        <w:rPr>
          <w:rFonts w:ascii="Arial" w:hAnsi="Arial"/>
          <w:sz w:val="22"/>
        </w:rPr>
        <w:t>At Citi, I built automated Python and PySpark-oriented data pipelines for high-volume telemetry and capacity datasets, modernized legacy reporting processes, and supported AWS-based data platform patterns using S3, Glue, Athena-style access, and Redshift. That experience maps directly to migration logic, scheduling, data transfer, data quality, and stakeholder-ready data products.</w:t>
      </w:r>
    </w:p>
    <w:p>
      <w:r>
        <w:rPr>
          <w:rFonts w:ascii="Arial" w:hAnsi="Arial"/>
          <w:sz w:val="22"/>
        </w:rPr>
        <w:t>Earlier at Sabre, I led a major data migration from a large MySQL estate to Oracle RAC, including schema conversion, validation, performance tuning, and production cutover support. Across my career, I have repeatedly worked in environments where legacy SQL, production workflows, and business-critical data had to be translated into more reliable platforms without breaking downstream consumers.</w:t>
      </w:r>
    </w:p>
    <w:p>
      <w:r>
        <w:rPr>
          <w:rFonts w:ascii="Arial" w:hAnsi="Arial"/>
          <w:sz w:val="22"/>
        </w:rPr>
        <w:t>For this role, I would position myself strongest around AWS/Python/SQL/Spark, Hadoop/Hive background, JSON/XML data handling, Parquet/lakehouse concepts, reconciliation frameworks, schema evolution awareness, and documentation for hand-off and sign-off. I would treat Snowflake, Iceberg, Kafka, and K8s carefully and honestly as adjacent or developing areas while leaning on my migration and production data reliability strengths.</w:t>
      </w:r>
    </w:p>
    <w:p>
      <w:r>
        <w:rPr>
          <w:rFonts w:ascii="Arial" w:hAnsi="Arial"/>
          <w:sz w:val="22"/>
        </w:rPr>
        <w:t>I would welcome the opportunity to help ACCLiiVE deliver reliable lakehouse migration outcomes with strong validation, documentation, and stakeholder confidence.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