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/ Python / Spark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experience, including financial-services data platforms, Python/SQL ETL, Spark/PySpark pipelines, cloud migration, and production reliability. Built and supported AWS/Oracle data pipelines that processed telemetry from 6,000+ endpoints, enabled advanced analytics and forecasting, and improved operational visibility for banking stakeholders. Strong fit for roles requiring AWS data pipelines, Spark query tuning, legacy-to-cloud modernization, ML/RAG-adjacent data workflows, documentation, controls-aware delivery, and technical leadership.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infrastructure endpoints, replacing manual processes with repeatable data workflows used for capacity planning, analytics, and operational reporting.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ETL, and Amazon Redshift for forecasting workloads, supporting cloud migration of legacy analytics processes while preserving data traceability.</w:t>
      </w:r>
    </w:p>
    <w:p>
      <w:pPr>
        <w:pStyle w:val="ListBullet"/>
      </w:pPr>
      <w:r>
        <w:rPr>
          <w:rFonts w:ascii="Arial" w:hAnsi="Arial"/>
          <w:sz w:val="22"/>
        </w:rPr>
        <w:t>Developed PySpark/Spark-style large-scale processing patterns for telemetry and forecasting workloads, including partition-aware processing, data validation, and performance-focused pipeline design.</w:t>
      </w:r>
    </w:p>
    <w:p>
      <w:pPr>
        <w:pStyle w:val="ListBullet"/>
      </w:pPr>
      <w:r>
        <w:rPr>
          <w:rFonts w:ascii="Arial" w:hAnsi="Arial"/>
          <w:sz w:val="22"/>
        </w:rPr>
        <w:t>Migrated heavy Prophet/scikit-learn forecasting workloads from on-prem Oracle patterns toward Redshift-backed cloud processing, improving scalability for parallel forecasting and downstream analytics.</w:t>
      </w:r>
    </w:p>
    <w:p>
      <w:pPr>
        <w:pStyle w:val="ListBullet"/>
      </w:pPr>
      <w:r>
        <w:rPr>
          <w:rFonts w:ascii="Arial" w:hAnsi="Arial"/>
          <w:sz w:val="22"/>
        </w:rPr>
        <w:t>Integrated monitoring and telemetry feeds from BMC TrueSight, CA APM, and AppDynamics into unified reporting layers with executive dashboards and operational health views.</w:t>
      </w:r>
    </w:p>
    <w:p>
      <w:pPr>
        <w:pStyle w:val="ListBullet"/>
      </w:pPr>
      <w:r>
        <w:rPr>
          <w:rFonts w:ascii="Arial" w:hAnsi="Arial"/>
          <w:sz w:val="22"/>
        </w:rPr>
        <w:t>Designed reconciliation, data quality, and reporting checks for production analytics datasets, supporting root-cause analysis, incident response, and stakeholder trust in data outputs.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engineering, operations, and business stakeholders to translate infrastructure and risk questions into scalable data products, reports, and technical documentation.</w:t>
      </w:r>
    </w:p>
    <w:p>
      <w:pPr>
        <w:pStyle w:val="ListBullet"/>
      </w:pPr>
      <w:r>
        <w:rPr>
          <w:rFonts w:ascii="Arial" w:hAnsi="Arial"/>
          <w:sz w:val="22"/>
        </w:rPr>
        <w:t>Used AI-assisted development workflows, RAG concepts, and LLM APIs in current projects to accelerate pipeline design, quality gates, job scoring, and structured JSON artifact generation.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Brand.com and critical hospitality systems, improving transaction visibility and operational diagnosis for engineering teams.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data to identify optimization opportunities and convert telemetry into actionable engineering recommendations.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workflows, strengthening reliability analysis for customer-facing systems.</w:t>
      </w:r>
    </w:p>
    <w:p>
      <w:pPr>
        <w:pStyle w:val="ListBullet"/>
      </w:pPr>
      <w:r>
        <w:rPr>
          <w:rFonts w:ascii="Arial" w:hAnsi="Arial"/>
          <w:sz w:val="22"/>
        </w:rPr>
        <w:t>Supported cloud migration planning to AWS by assessing APM readiness, monitoring requirements, and integration patterns for production systems.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environment, supporting 50+ Enterprise Managers and 4,000-6,000 instrumented agents across enterprise applications.</w:t>
      </w:r>
    </w:p>
    <w:p>
      <w:pPr>
        <w:pStyle w:val="ListBullet"/>
      </w:pPr>
      <w:r>
        <w:rPr>
          <w:rFonts w:ascii="Arial" w:hAnsi="Arial"/>
          <w:sz w:val="22"/>
        </w:rPr>
        <w:t>Built Perl/Korn shell data-extraction and reporting automation that replaced manual weekly exports and improved operational reporting consistency.</w:t>
      </w:r>
    </w:p>
    <w:p>
      <w:pPr>
        <w:pStyle w:val="ListBullet"/>
      </w:pPr>
      <w:r>
        <w:rPr>
          <w:rFonts w:ascii="Arial" w:hAnsi="Arial"/>
          <w:sz w:val="22"/>
        </w:rPr>
        <w:t>Designed dashboards, alert thresholds, SLA views, and technical documentation adopted as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 performance teams to investigate bottlenecks, analyze telemetry, and improve release and operational readiness.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transaction performance and data correctness.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and SQL access patterns, reducing hardware footprint while preserving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validation and testing frameworks to verify migration correctness across large transaction datasets and phased cutover activities.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Java, C++, Perl, Korn Shell,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Grok API, FAISS, and sentence-transformers.</w:t>
        <w:br/>
        <w:t>The system performs semantic duplicate detection, LLM-powered scoring, resume/cover tailoring, quality gates, and application tracking, demonstrating RAG-style retrieval, structured output generation, and operational workflow automation.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 Concepts, Agentic Workflows, JSON Quality Gates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capacity forecasting engine that replaced manual forecasting with automated telemetry pipelines, Prophet/scikit-learn models, and Streamlit dashboards for banking-scale infrastructure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Pandas, Streamlit, Telemetry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AWS-oriented serverless data platform pattern using S3, Glue, Athena, Redshift, Parquet, and Bedrock concepts to support ETL, query optimization, AI-assisted analytics, and governed data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Parquet, PySpark, Bedrock Concepts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