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Principal Data Engineer role with Vistra in Irving. My background combines senior data engineering, AWS data platform work, Spark/PySpark processing, enterprise telemetry pipelines, database design, governance-aware delivery, and technical leadership in regulated environments.</w:t>
      </w:r>
    </w:p>
    <w:p>
      <w:r>
        <w:rPr>
          <w:rFonts w:ascii="Arial" w:hAnsi="Arial"/>
          <w:sz w:val="22"/>
        </w:rPr>
        <w:t>At Citi, I architected Python and Pandas ETL pipelines ingesting telemetry from 6,000+ endpoints and built data products used for capacity forecasting, analytics, and executive reporting. That work required scalable ingestion, reliable processing, optimized schemas, data validation, documentation, and close collaboration with infrastructure, application, and analytics stakeholders.</w:t>
      </w:r>
    </w:p>
    <w:p>
      <w:r>
        <w:rPr>
          <w:rFonts w:ascii="Arial" w:hAnsi="Arial"/>
          <w:sz w:val="22"/>
        </w:rPr>
        <w:t>The role's focus on scalable pipelines, big data frameworks, cloud data infrastructure, data modeling, storage, retrieval, and governance maps closely to my experience with AWS S3, Glue, Redshift, Athena, Oracle, SQL optimization, PySpark/Spark, Hadoop/Hive concepts, Parquet, and enterprise reporting layers. I have also worked in environments where data privacy, access control, auditability, monitoring, and operational reliability were not optional because the systems supported banking-scale decision making.</w:t>
      </w:r>
    </w:p>
    <w:p>
      <w:r>
        <w:rPr>
          <w:rFonts w:ascii="Arial" w:hAnsi="Arial"/>
          <w:sz w:val="22"/>
        </w:rPr>
        <w:t>I would bring Vistra a practical principal-engineer profile: hands-on enough to design and build pipelines, senior enough to guide architecture and standards, and operationally grounded enough to care about documentation, reliability, query performance, maintainability, and team mentorship. I am based in the Dallas-Fort Worth area and the hybrid Irving location is a strong fit.</w:t>
      </w:r>
    </w:p>
    <w:p>
      <w:r>
        <w:rPr>
          <w:rFonts w:ascii="Arial" w:hAnsi="Arial"/>
          <w:sz w:val="22"/>
        </w:rPr>
        <w:t>I would welcome the opportunity to help Vistra strengthen scalable, governed, and reliable data platforms that support analytics, advanced data processing, and business decision making.</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