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Python, SQL, PySpark &amp; Cloud Data Platforms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20+ years of enterprise technology experience and deep hands-on work across Python, SQL, PySpark/Spark, ETL pipelines, data modeling, data quality, governance, and operational reporting. Built and optimized large-scale telemetry and forecasting data platforms in regulated financial environments, including AWS-based S3, Glue, Redshift, and containerized Python processing patterns. Strong fit for Walmart's advertising data engineering team through practical experience translating business needs into reliable data pipelines, analytics-ready datasets, performance monitoring, documentation, and cross-functional delivery. Actively extending Spark and AWS experience into Databricks, GCP, Terraform, and modern CI/CD practices without overstating production depth.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and PySpark-oriented ETL pipelines ingesting P95 telemetry from 6,000+ enterprise endpoints, replacing manual collection workflows with repeatable, governed data processing.</w:t>
      </w:r>
    </w:p>
    <w:p>
      <w:pPr>
        <w:pStyle w:val="ListBullet"/>
      </w:pPr>
      <w:r>
        <w:rPr>
          <w:rFonts w:ascii="Arial" w:hAnsi="Arial"/>
          <w:sz w:val="22"/>
        </w:rPr>
        <w:t>Designed and optimized Oracle and AWS-backed data models for historical retention, forecasting, reporting, and executive analytics, with emphasis on query performance, data quality, and traceability.</w:t>
      </w:r>
    </w:p>
    <w:p>
      <w:pPr>
        <w:pStyle w:val="ListBullet"/>
      </w:pPr>
      <w:r>
        <w:rPr>
          <w:rFonts w:ascii="Arial" w:hAnsi="Arial"/>
          <w:sz w:val="22"/>
        </w:rPr>
        <w:t>Built hybrid AWS/Oracle data platform patterns using S3 landing zones, AWS Glue ETL, Amazon Redshift workloads, and containerized Python jobs on EC2/ECS to support scalable forecasting and analytics delivery.</w:t>
      </w:r>
    </w:p>
    <w:p>
      <w:pPr>
        <w:pStyle w:val="ListBullet"/>
      </w:pPr>
      <w:r>
        <w:rPr>
          <w:rFonts w:ascii="Arial" w:hAnsi="Arial"/>
          <w:sz w:val="22"/>
        </w:rPr>
        <w:t>Partnered with operations, engineering, and leadership stakeholders to translate business capacity questions into reliable datasets, dashboards, trend analysis, and actionable infrastructure recommendations.</w:t>
      </w:r>
    </w:p>
    <w:p>
      <w:pPr>
        <w:pStyle w:val="ListBullet"/>
      </w:pPr>
      <w:r>
        <w:rPr>
          <w:rFonts w:ascii="Arial" w:hAnsi="Arial"/>
          <w:sz w:val="22"/>
        </w:rPr>
        <w:t>Integrated multiple monitoring and performance data sources including BMC TrueSight, CA Wily, and AppDynamics into unified reporting pipelines that improved visibility across enterprise systems.</w:t>
      </w:r>
    </w:p>
    <w:p>
      <w:pPr>
        <w:pStyle w:val="ListBullet"/>
      </w:pPr>
      <w:r>
        <w:rPr>
          <w:rFonts w:ascii="Arial" w:hAnsi="Arial"/>
          <w:sz w:val="22"/>
        </w:rPr>
        <w:t>Applied data governance, validation, documentation, monitoring, and issue investigation practices in a regulated banking environment where accuracy, auditability, and operational reliability were essential.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data flows for Brand.com and critical hospitality systems, supporting performance analytics and production visibility.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data to identify optimization opportunities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experiences, strengthening the data foundation for operational decisions and issue resolution.</w:t>
      </w:r>
    </w:p>
    <w:p>
      <w:pPr>
        <w:pStyle w:val="ListBullet"/>
      </w:pPr>
      <w:r>
        <w:rPr>
          <w:rFonts w:ascii="Arial" w:hAnsi="Arial"/>
          <w:sz w:val="22"/>
        </w:rPr>
        <w:t>Produced analytics and reporting artifacts for technical and non-technical stakeholders, connecting performance telemetry to measurable business and customer experience impact.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enterprise APM SME across large-scale financial services environments with 50+ Enterprise Managers and 4,000-6,000 instrumented agents.</w:t>
      </w:r>
    </w:p>
    <w:p>
      <w:pPr>
        <w:pStyle w:val="ListBullet"/>
      </w:pPr>
      <w:r>
        <w:rPr>
          <w:rFonts w:ascii="Arial" w:hAnsi="Arial"/>
          <w:sz w:val="22"/>
        </w:rPr>
        <w:t>Built Perl/Korn Shell automation and SQL-backed reporting workflows that replaced manual exports and improved repeatability of operational data delivery.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technical documentation, and onboarding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J2EE/WebLogic, infrastructure, and performance teams to troubleshoot complex system behavior using telemetry and evidence-based analysis.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data correctness and transaction performance.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database access patterns, reducing hardware footprint while maintaining sub-second query latency.</w:t>
      </w:r>
    </w:p>
    <w:p>
      <w:pPr>
        <w:pStyle w:val="ListBullet"/>
      </w:pPr>
      <w:r>
        <w:rPr>
          <w:rFonts w:ascii="Arial" w:hAnsi="Arial"/>
          <w:sz w:val="22"/>
        </w:rPr>
        <w:t>Built validation and test frameworks to verify migration correctness across large transaction datasets during phased cutover.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Shell, Java, C++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Python, PySpark, Prophet, scikit-learn, and Streamlit forecasting platform that transformed enterprise telemetry into capacity risk insights, replacing manual forecasting cycles with repeatable data pipelines and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Pipelines, Forecasting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pattern using S3, Glue, Athena, Redshift, Parquet, and PySpark concepts to support scalable ingestion, transformation, query optimization, and analytics delivery.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Python pipeline for job intake, duplicate detection, fit scoring, artifact generation, quality gates, and tracking, using structured JSON contracts, embeddings, and LLM-assisted workflow automation.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 Contracts,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