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03,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Senior Data Engineer role supporting Salesforce data migrations through repeatable ETL workflows, SQL/Python automation, data quality controls, reconciliation, and migration runbooks. My background combines enterprise data engineering, regulated production support, database migration, SQL performance tuning, and business-facing reporting.</w:t>
      </w:r>
    </w:p>
    <w:p>
      <w:r>
        <w:rPr>
          <w:rFonts w:ascii="Arial" w:hAnsi="Arial"/>
          <w:sz w:val="22"/>
        </w:rPr>
        <w:t>At Citi, I built and supported Python/Pandas ETL pipelines ingesting telemetry from 6,000+ endpoints, integrating multiple source systems into validated reporting and forecasting datasets. The work required source analysis, transformation logic, quality checks, reconciliation, root-cause investigation, and reliable production delivery for enterprise stakeholders.</w:t>
      </w:r>
    </w:p>
    <w:p>
      <w:r>
        <w:rPr>
          <w:rFonts w:ascii="Arial" w:hAnsi="Arial"/>
          <w:sz w:val="22"/>
        </w:rPr>
        <w:t>I also bring direct migration and validation experience from Sabre, where I helped migrate a high-throughput platform from 200+ MySQL nodes to Oracle RAC and built validation routines to confirm correctness across large transaction datasets. That experience maps well to source-to-target mapping, data profiling, mock loads, remediation, cutover validation, and runbook-driven migration execution.</w:t>
      </w:r>
    </w:p>
    <w:p>
      <w:r>
        <w:rPr>
          <w:rFonts w:ascii="Arial" w:hAnsi="Arial"/>
          <w:sz w:val="22"/>
        </w:rPr>
        <w:t>While my strongest production background is Oracle, SQL/PLSQL, Python, AWS, and enterprise ETL rather than IBM DataStage or Salesforce administration, I can bring the disciplined migration engineering foundation this role needs: SQL performance tuning, data cleansing, audit-ready validation, governance awareness, and careful documentation of load schedules, controls, rollback, and support procedures.</w:t>
      </w:r>
    </w:p>
    <w:p>
      <w:r>
        <w:rPr>
          <w:rFonts w:ascii="Arial" w:hAnsi="Arial"/>
          <w:sz w:val="22"/>
        </w:rPr>
        <w:t>I would welcome the opportunity to support Eliassen Group's client with reliable, auditable, and well-documented data migration delivery.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