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Senior Clinical Data &amp; Analytics Engineer role supporting Yale Medicine Clinical Practice. My background combines senior SQL-driven analytics, reporting systems, data quality, stakeholder dashboards, QA/testing, documentation, and operational/financial reporting in regulated enterprise environments.</w:t>
      </w:r>
    </w:p>
    <w:p>
      <w:r>
        <w:rPr>
          <w:rFonts w:ascii="Arial" w:hAnsi="Arial"/>
          <w:sz w:val="22"/>
        </w:rPr>
        <w:t>At Citi, I built and supported data pipelines and reporting workflows that turned raw operational telemetry into trusted analytics for senior stakeholders. That work required complex SQL, Python automation, data modeling, validation routines, performance-aware reporting structures, and clear documentation so technical and non-technical teams could rely on the outputs for planning and decision-making.</w:t>
      </w:r>
    </w:p>
    <w:p>
      <w:r>
        <w:rPr>
          <w:rFonts w:ascii="Arial" w:hAnsi="Arial"/>
          <w:sz w:val="22"/>
        </w:rPr>
        <w:t>The role’s focus on SQL programming, reporting systems, QA/testing, stakeholder requirements, documentation, and actionable insights maps closely to my experience. I have designed reporting datasets, investigated data quality issues, built dashboards and analytical outputs, and partnered with business and technology teams to translate requirements into reliable data products and operational reports.</w:t>
      </w:r>
    </w:p>
    <w:p>
      <w:r>
        <w:rPr>
          <w:rFonts w:ascii="Arial" w:hAnsi="Arial"/>
          <w:sz w:val="22"/>
        </w:rPr>
        <w:t>While my strongest production background is Oracle/AWS/Python/SQL rather than Epic Clarity or healthcare revenue-cycle systems specifically, I bring the practical engineering discipline needed for this position: careful SQL analysis, data validation, stakeholder communication, production support, technical documentation, and the ability to learn domain-specific healthcare data structures with rigor.</w:t>
      </w:r>
    </w:p>
    <w:p>
      <w:r>
        <w:rPr>
          <w:rFonts w:ascii="Arial" w:hAnsi="Arial"/>
          <w:sz w:val="22"/>
        </w:rPr>
        <w:t>I would welcome the opportunity to help Yale Medicine maintain accurate, useful, and well-documented reporting systems for clinical practice, finance, revenue cycle, and operational leadership.</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