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Staff Observability Data Infrastructure Engineer role with CVS Health. The role's blend of observability telemetry, data infrastructure, ETL/ELT, Python, SQL, Spark, data quality, and production reliability aligns unusually well with my combined data engineering and APM/observability background.</w:t>
      </w:r>
    </w:p>
    <w:p>
      <w:r>
        <w:rPr>
          <w:rFonts w:ascii="Arial" w:hAnsi="Arial"/>
          <w:sz w:val="22"/>
        </w:rPr>
        <w:t>At Citi, I built and supported telemetry data pipelines that ingested operational data from thousands of endpoints and converted it into curated datasets for forecasting, analytics, executive reporting, and production decision support. My work combined Python, SQL, Pandas, PySpark-oriented processing, Oracle data structures, AWS data services, validation routines, reconciliation, exception handling, and runbooks.</w:t>
      </w:r>
    </w:p>
    <w:p>
      <w:r>
        <w:rPr>
          <w:rFonts w:ascii="Arial" w:hAnsi="Arial"/>
          <w:sz w:val="22"/>
        </w:rPr>
        <w:t>My observability background is deep and practical. I managed Dynatrace AppMon and Gomez Synthetic Monitoring at G6, implemented EUM and transaction tracing, and served as a CA APM SME for TIAA-CREF environments with thousands of instrumented agents. I also integrated BMC TrueSight, CA APM, and AppDynamics telemetry into unified reporting layers, giving me strong context for logs, metrics, traces, pipeline trust, data normalization, and operational visibility.</w:t>
      </w:r>
    </w:p>
    <w:p>
      <w:r>
        <w:rPr>
          <w:rFonts w:ascii="Arial" w:hAnsi="Arial"/>
          <w:sz w:val="22"/>
        </w:rPr>
        <w:t>I would be transparent that Databricks, Delta Lake, Unity Catalog, OpenTelemetry, Cribl, Vector, SIEM/SOAR, Terraform, and Kubernetes are not my deepest production claims. However, the core mission of this role—turning high-volume telemetry into trustworthy, governed, actionable data for reliability and security workflows—is directly aligned with the work I have delivered across regulated enterprise environments.</w:t>
      </w:r>
    </w:p>
    <w:p>
      <w:r>
        <w:rPr>
          <w:rFonts w:ascii="Arial" w:hAnsi="Arial"/>
          <w:sz w:val="22"/>
        </w:rPr>
        <w:t>I would welcome the opportunity to bring senior telemetry-data engineering, observability, and production reliability experience to CVS Health's Observability Lakehouse initiative.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