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Monitoring Engineer role with Accenture Flex. The focus on Dynatrace Managed/APM support, monitoring tools, Windows/Unix infrastructure, shell scripting, application/network performance, N-tier architecture, and stakeholder communication aligns strongly with my enterprise monitoring and observability background.</w:t>
      </w:r>
    </w:p>
    <w:p>
      <w:r>
        <w:rPr>
          <w:rFonts w:ascii="Arial" w:hAnsi="Arial"/>
          <w:sz w:val="22"/>
        </w:rPr>
        <w:t>At G6 Hospitality, I managed Dynatrace AppMon and Gomez Synthetic Monitoring for Brand.com and other critical systems. I implemented EUM and transaction tracing, upgraded Dynatrace from 6.5 to 7.0, enforced TLS 1.2 security, integrated HP Performance Center with Dynatrace, and used performance telemetry to drive engineering recommendations.</w:t>
      </w:r>
    </w:p>
    <w:p>
      <w:r>
        <w:rPr>
          <w:rFonts w:ascii="Arial" w:hAnsi="Arial"/>
          <w:sz w:val="22"/>
        </w:rPr>
        <w:t>At Citi and CA Technologies/TIAA-CREF, I supported large enterprise monitoring and telemetry environments across regulated financial-services systems. I integrated BMC TrueSight, CA APM, and AppDynamics telemetry into reporting layers, designed dashboards and alert thresholds, automated telemetry extraction with scripting, documented runbooks, and partnered with application, middleware, database, and operations teams to diagnose production issues.</w:t>
      </w:r>
    </w:p>
    <w:p>
      <w:r>
        <w:rPr>
          <w:rFonts w:ascii="Arial" w:hAnsi="Arial"/>
          <w:sz w:val="22"/>
        </w:rPr>
        <w:t>I would be transparent that Splunk, SiteScope, and Catchpoint are not my deepest production tools. However, the core operating patterns are familiar: instrument applications, monitor Windows/Unix and N-tier environments, analyze telemetry, build dashboards and alerts, connect business context to technical evidence, and communicate clearly across internal and external stakeholders.</w:t>
      </w:r>
    </w:p>
    <w:p>
      <w:r>
        <w:rPr>
          <w:rFonts w:ascii="Arial" w:hAnsi="Arial"/>
          <w:sz w:val="22"/>
        </w:rPr>
        <w:t>I would welcome the opportunity to bring senior monitoring, APM, scripting, production support, and stakeholder communication experience to this Accenture Flex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