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Monitoring and Performance Administrator, IT Infrastructure role. The focus on system monitoring, performance analysis, incident management, capacity planning, documentation, scripting, and continuous improvement aligns closely with my infrastructure monitoring and capacity background.</w:t>
      </w:r>
    </w:p>
    <w:p>
      <w:r>
        <w:rPr>
          <w:rFonts w:ascii="Arial" w:hAnsi="Arial"/>
          <w:sz w:val="22"/>
        </w:rPr>
        <w:t>At Citi, I built and supported telemetry analytics pipelines that transformed operational data from thousands of endpoints into curated datasets for monitoring, capacity planning, forecasting, and executive reporting. My work included Python and SQL automation, validation, reconciliation, performance analysis, capacity forecasting, dashboards, runbooks, and stakeholder reporting in a regulated enterprise environment.</w:t>
      </w:r>
    </w:p>
    <w:p>
      <w:r>
        <w:rPr>
          <w:rFonts w:ascii="Arial" w:hAnsi="Arial"/>
          <w:sz w:val="22"/>
        </w:rPr>
        <w:t>My monitoring background includes BMC TrueSight/TSCO, Dynatrace AppMon and Synthetics, CA APM, and AppDynamics. I have designed dashboards, alert thresholds, operational reports, monitoring documentation, and support processes while partnering with infrastructure, application, database, and operations teams to identify bottlenecks and improve reliability.</w:t>
      </w:r>
    </w:p>
    <w:p>
      <w:r>
        <w:rPr>
          <w:rFonts w:ascii="Arial" w:hAnsi="Arial"/>
          <w:sz w:val="22"/>
        </w:rPr>
        <w:t>I would be transparent that SolarWinds, Nagios, and Zabbix are not my deepest production tools. However, the core operating patterns are directly familiar: monitor servers, applications, and infrastructure; analyze performance metrics; respond to alerts; reduce alert fatigue; document configurations and incidents; and communicate actionable recommendations to technical and non-technical stakeholders.</w:t>
      </w:r>
    </w:p>
    <w:p>
      <w:r>
        <w:rPr>
          <w:rFonts w:ascii="Arial" w:hAnsi="Arial"/>
          <w:sz w:val="22"/>
        </w:rPr>
        <w:t>I would welcome the opportunity to bring senior monitoring, performance analysis, capacity management, automation, and documentation discipline to Ryan's IT infrastructure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