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Data Architect - AWS role with Blackstraw. The role's focus on AWS data architecture, S3, Redshift, Glue, Lambda, cloud migration, data modeling, governance, performance optimization, and architecture documentation aligns strongly with my enterprise data platform background.</w:t>
      </w:r>
    </w:p>
    <w:p>
      <w:r>
        <w:rPr>
          <w:rFonts w:ascii="Arial" w:hAnsi="Arial"/>
          <w:sz w:val="22"/>
        </w:rPr>
        <w:t>At Citi, I built and supported AWS-aligned data workflows using S3 landing zones, AWS Glue ETL patterns, Athena, Redshift, IAM concepts, and cloud-scale analytics patterns. My work included Python and SQL pipelines, PySpark-oriented processing, validation, reconciliation, historical retention, reporting-ready datasets, production troubleshooting, and governance-oriented documentation.</w:t>
      </w:r>
    </w:p>
    <w:p>
      <w:r>
        <w:rPr>
          <w:rFonts w:ascii="Arial" w:hAnsi="Arial"/>
          <w:sz w:val="22"/>
        </w:rPr>
        <w:t>I also bring strong migration and database engineering experience. At Sabre, I led migration of a high-throughput data platform from many MySQL nodes to Oracle RAC, building validation utilities and optimizing SQL/database access patterns to protect correctness and performance during cutover. Earlier enterprise work included Oracle, PL/SQL, Pro*C, XML, Java/J2EE exposure, Perl, Korn Shell, data interfaces, and production support.</w:t>
      </w:r>
    </w:p>
    <w:p>
      <w:r>
        <w:rPr>
          <w:rFonts w:ascii="Arial" w:hAnsi="Arial"/>
          <w:sz w:val="22"/>
        </w:rPr>
        <w:t>I would be transparent that my deepest production database background is Oracle/MySQL/Redshift/Athena rather than SQL Server, and that Lake Formation, KMS, VPC/private endpoints, Terraform, CloudFormation, Collibra, and Alation are adjacent or active-learning areas. However, the core needs of this role—AWS target-state data architecture, on-prem-to-cloud migration patterns, data lake and warehouse design, partitioning, compression, performance tuning, governance documentation, access-control awareness, and migration playbooks—are directly aligned with work I have delivered.</w:t>
      </w:r>
    </w:p>
    <w:p>
      <w:r>
        <w:rPr>
          <w:rFonts w:ascii="Arial" w:hAnsi="Arial"/>
          <w:sz w:val="22"/>
        </w:rPr>
        <w:t>I would welcome the opportunity to bring senior AWS data architecture, migration, governance, and performance-focused data engineering experience to Blackstraw's cloud modernization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