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AWS Data Architect | Redshift / Glue / S3 / Python SQL</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Lead AWS Data Architect and Senior Data Engineer with 20+ years of enterprise IT experience across AWS data platforms, Python/SQL ETL, Redshift, Glue, S3, Athena, data lake and data warehouse design, data modeling, migration, governance documentation, pipeline reliability, and production troubleshooting. Strong background building scalable analytics datasets, historical retention structures, validation controls, and reporting layers in regulated enterprise environments. Strongest AWS production background is Glue/S3/Athena/Redshift/PySpark, with Lambda and Step Functions as adjacent/active-learning areas.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and supported AWS-aligned data workflows using S3 landing zones, AWS Glue ETL patterns, Athena, Redshift, EC2/ECS, IAM concepts, and CloudWatch-style monitoring concepts to modernize analytics workloads.</w:t>
      </w:r>
    </w:p>
    <w:p>
      <w:pPr>
        <w:pStyle w:val="ListBullet"/>
      </w:pPr>
      <w:r>
        <w:rPr>
          <w:rFonts w:ascii="Arial" w:hAnsi="Arial"/>
          <w:sz w:val="22"/>
        </w:rPr>
        <w:t>Built Python, SQL, Pandas, and PySpark-oriented ETL pipelines that transformed telemetry from 6,000+ endpoints into curated datasets for analytics, forecasting, capacity planning, and executive reporting.</w:t>
      </w:r>
    </w:p>
    <w:p>
      <w:pPr>
        <w:pStyle w:val="ListBullet"/>
      </w:pPr>
      <w:r>
        <w:rPr>
          <w:rFonts w:ascii="Arial" w:hAnsi="Arial"/>
          <w:sz w:val="22"/>
        </w:rPr>
        <w:t>Developed target-state data patterns for raw-to-curated processing, historical retention, reporting layers, validation routines, and stakeholder-facing analytics outputs.</w:t>
      </w:r>
    </w:p>
    <w:p>
      <w:pPr>
        <w:pStyle w:val="ListBullet"/>
      </w:pPr>
      <w:r>
        <w:rPr>
          <w:rFonts w:ascii="Arial" w:hAnsi="Arial"/>
          <w:sz w:val="22"/>
        </w:rPr>
        <w:t>Created reporting-ready datasets, Oracle-backed historical retention models, SQL views/tables, and query patterns for operational analytics and decision support.</w:t>
      </w:r>
    </w:p>
    <w:p>
      <w:pPr>
        <w:pStyle w:val="ListBullet"/>
      </w:pPr>
      <w:r>
        <w:rPr>
          <w:rFonts w:ascii="Arial" w:hAnsi="Arial"/>
          <w:sz w:val="22"/>
        </w:rPr>
        <w:t>Implemented data quality checks, validation rules, reconciliation logic, and issue investigation workflows to improve trust in downstream reporting and analytics outputs.</w:t>
      </w:r>
    </w:p>
    <w:p>
      <w:pPr>
        <w:pStyle w:val="ListBullet"/>
      </w:pPr>
      <w:r>
        <w:rPr>
          <w:rFonts w:ascii="Arial" w:hAnsi="Arial"/>
          <w:sz w:val="22"/>
        </w:rPr>
        <w:t>Produced data dictionaries, runbooks, validation notes, dashboard narratives, and process documentation to support governance, auditability, lineage-style traceability, and production handoff.</w:t>
      </w:r>
    </w:p>
    <w:p>
      <w:pPr>
        <w:pStyle w:val="ListBullet"/>
      </w:pPr>
      <w:r>
        <w:rPr>
          <w:rFonts w:ascii="Arial" w:hAnsi="Arial"/>
          <w:sz w:val="22"/>
        </w:rPr>
        <w:t>Partnered with infrastructure, technology, operations, and management stakeholders to translate business and capacity requirements into scalable data solutions.</w:t>
      </w:r>
    </w:p>
    <w:p>
      <w:pPr>
        <w:pStyle w:val="ListBullet"/>
      </w:pPr>
      <w:r>
        <w:rPr>
          <w:rFonts w:ascii="Arial" w:hAnsi="Arial"/>
          <w:sz w:val="22"/>
        </w:rPr>
        <w:t>Troubleshot data issues by tracing source feeds, schema changes, transformation logic, SQL behavior, missing data, and downstream reporting expectations.</w:t>
      </w:r>
    </w:p>
    <w:p>
      <w:pPr>
        <w:pStyle w:val="ListBullet"/>
      </w:pPr>
      <w:r>
        <w:rPr>
          <w:rFonts w:ascii="Arial" w:hAnsi="Arial"/>
          <w:sz w:val="22"/>
        </w:rPr>
        <w:t>Optimized SQL/database access patterns, partitioning-oriented data layouts, and processing approaches to support scalable analytics and cost-aware reporting.</w:t>
      </w:r>
    </w:p>
    <w:p>
      <w:pPr>
        <w:pStyle w:val="ListBullet"/>
      </w:pPr>
      <w:r>
        <w:rPr>
          <w:rFonts w:ascii="Arial" w:hAnsi="Arial"/>
          <w:sz w:val="22"/>
        </w:rPr>
        <w:t>Built forecasting workflows with Prophet and scikit-learn on curated datasets to identify future capacity risks and support proactive planning.</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correctness, performance, and production reliability.</w:t>
      </w:r>
    </w:p>
    <w:p>
      <w:pPr>
        <w:pStyle w:val="ListBullet"/>
      </w:pPr>
      <w:r>
        <w:rPr>
          <w:rFonts w:ascii="Arial" w:hAnsi="Arial"/>
          <w:sz w:val="22"/>
        </w:rPr>
        <w:t>Built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production risk.</w:t>
      </w:r>
    </w:p>
    <w:p>
      <w:pPr>
        <w:pStyle w:val="ListBullet"/>
      </w:pPr>
      <w:r>
        <w:rPr>
          <w:rFonts w:ascii="Arial" w:hAnsi="Arial"/>
          <w:sz w:val="22"/>
        </w:rPr>
        <w:t>Automated schema conversion, data validation, and migration-support processes to improve repeatability and cutover confidence.</w:t>
      </w:r>
    </w:p>
    <w:p>
      <w:pPr>
        <w:pStyle w:val="ListBullet"/>
      </w:pPr>
      <w:r>
        <w:rPr>
          <w:rFonts w:ascii="Arial" w:hAnsi="Arial"/>
          <w:sz w:val="22"/>
        </w:rPr>
        <w:t>Documented migration behavior, validation procedures, performance findings, and support patterns for enterprise engineering teams.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extraction/reporting scripts that automated recurring telemetry exports and improved repeatability of operational reports.</w:t>
      </w:r>
    </w:p>
    <w:p>
      <w:pPr>
        <w:pStyle w:val="ListBullet"/>
      </w:pPr>
      <w:r>
        <w:rPr>
          <w:rFonts w:ascii="Arial" w:hAnsi="Arial"/>
          <w:sz w:val="22"/>
        </w:rPr>
        <w:t>Designed dashboards, alert thresholds, reporting standards, and documentation used across regulated financial-services monitoring and operations teams.</w:t>
      </w:r>
    </w:p>
    <w:p>
      <w:pPr>
        <w:pStyle w:val="ListBullet"/>
      </w:pPr>
      <w:r>
        <w:rPr>
          <w:rFonts w:ascii="Arial" w:hAnsi="Arial"/>
          <w:sz w:val="22"/>
        </w:rPr>
        <w:t>Partnered with application, middleware, database, and operations teams to diagnose production bottlenecks using telemetry, SQL, and system evidence.</w:t>
      </w:r>
    </w:p>
    <w:p>
      <w:pPr>
        <w:pStyle w:val="ListBullet"/>
      </w:pPr>
      <w:r>
        <w:rPr>
          <w:rFonts w:ascii="Arial" w:hAnsi="Arial"/>
          <w:sz w:val="22"/>
        </w:rPr>
        <w:t>Delivered technical documentation, onboarding guidance, and knowledge-sharing materials for application and support teams.</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production data integration interfaces and reporting workflows where accuracy, repeatability, secure processing, and timely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Created technical documentation and support notes for legacy systems, data interfaces, and operational processes.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Java, C, C++, Perl, Korn Shell, XML, JSON, YAML</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AWS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Legacy Database Migration and Validation Framework</w:t>
      </w:r>
      <w:r>
        <w:rPr>
          <w:rFonts w:ascii="Arial" w:hAnsi="Arial"/>
          <w:sz w:val="22"/>
        </w:rPr>
        <w:br/>
        <w:t>Led and supported high-volume on-prem database migration work involving source/target validation, schema conversion, SQL optimization, cutover support, and production reliability checks.</w:t>
      </w:r>
      <w:r>
        <w:rPr>
          <w:rFonts w:ascii="Arial" w:hAnsi="Arial"/>
          <w:sz w:val="22"/>
        </w:rPr>
        <w:br/>
      </w:r>
      <w:r>
        <w:rPr>
          <w:rFonts w:ascii="Arial" w:hAnsi="Arial"/>
          <w:b/>
          <w:sz w:val="22"/>
        </w:rPr>
        <w:t xml:space="preserve">Technologies: </w:t>
      </w:r>
      <w:r>
        <w:rPr>
          <w:rFonts w:ascii="Arial" w:hAnsi="Arial"/>
          <w:sz w:val="22"/>
        </w:rPr>
        <w:t>Oracle RAC, MySQL, SQL, C++, OCCI/OCI, Validation Utilities</w:t>
      </w:r>
    </w:p>
    <w:p>
      <w:r>
        <w:rPr>
          <w:rFonts w:ascii="Arial" w:hAnsi="Arial"/>
          <w:b/>
          <w:sz w:val="22"/>
        </w:rPr>
        <w:t>HorizonScale — Capacity Forecasting Data Platform</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