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03,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Programmer Analyst / Data Migration Oracle-AWS role. The focus on Oracle PL/SQL, legacy application logic, SQL tuning, ETL/schema transformation, reporting modernization, AWS migration, documentation, and vendor collaboration aligns strongly with my background.</w:t>
      </w:r>
    </w:p>
    <w:p>
      <w:r>
        <w:rPr>
          <w:rFonts w:ascii="Arial" w:hAnsi="Arial"/>
          <w:sz w:val="22"/>
        </w:rPr>
        <w:t>At Sabre, I led migration of a high-throughput data platform from more than 200 MySQL nodes to Oracle RAC, building validation utilities, optimizing SQL/database access patterns, and documenting migration behavior to protect correctness and performance during cutover. Earlier in my career, I supported Oracle, PL/SQL, Pro*C, C/C++, Java/J2EE, XML, Perl, Korn Shell, billing workflows, reporting workflows, and legacy integration logic.</w:t>
      </w:r>
    </w:p>
    <w:p>
      <w:r>
        <w:rPr>
          <w:rFonts w:ascii="Arial" w:hAnsi="Arial"/>
          <w:sz w:val="22"/>
        </w:rPr>
        <w:t>At Citi, I built Python and SQL data pipelines that transformed enterprise operational data into curated reporting and analytics outputs. My work included Oracle-backed reporting structures, validation and reconciliation checks, exception handling, data dictionaries, runbooks, production troubleshooting, and AWS-aligned patterns using S3, Glue, Athena, Redshift, IAM concepts, and CloudWatch-style monitoring concepts.</w:t>
      </w:r>
    </w:p>
    <w:p>
      <w:r>
        <w:rPr>
          <w:rFonts w:ascii="Arial" w:hAnsi="Arial"/>
          <w:sz w:val="22"/>
        </w:rPr>
        <w:t>I would be transparent that Crystal Reports, AWS QuickSight, PowerShell, DHTML conversion, and justice/offender-management domain experience are not my deepest production claims. However, the core needs of this role—understanding legacy business logic, refactoring SQL/PLSQL-style database logic, documenting workflows, validating transformed data, supporting reporting migration, and collaborating with vendors on modernization—are directly aligned with work I have delivered.</w:t>
      </w:r>
    </w:p>
    <w:p>
      <w:r>
        <w:rPr>
          <w:rFonts w:ascii="Arial" w:hAnsi="Arial"/>
          <w:sz w:val="22"/>
        </w:rPr>
        <w:t>I would welcome the opportunity to bring senior Oracle migration, SQL tuning, ETL validation, reporting modernization, and AWS data-platform experience to this remote modernization effort.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