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Engineering - Data, Lakehouse and AI Data Platform Engineer, Vice President role in Dallas. My background combines financial-services data engineering, Python/SQL/Spark pipeline delivery, production telemetry platforms, and practical lakehouse/AI data platform enablement.</w:t>
      </w:r>
    </w:p>
    <w:p>
      <w:r>
        <w:rPr>
          <w:rFonts w:ascii="Arial" w:hAnsi="Arial"/>
          <w:sz w:val="22"/>
        </w:rPr>
        <w:t>At Citi, I built and supported production data pipelines that ingested telemetry from 6,000+ endpoints and transformed it into governed datasets for forecasting, reporting, and operational decision-making. That work required the same practical engineering discipline described in this role: SQL troubleshooting, schema design, historical retention, data validation, reconciliation, monitoring, and root-cause analysis when production outputs broke or drifted.</w:t>
      </w:r>
    </w:p>
    <w:p>
      <w:r>
        <w:rPr>
          <w:rFonts w:ascii="Arial" w:hAnsi="Arial"/>
          <w:sz w:val="22"/>
        </w:rPr>
        <w:t>I bring strong hands-on Python, SQL, Pandas, PySpark/Spark, AWS S3, Glue, Redshift, Oracle, and reporting-platform experience, with current project work extending that foundation into lakehouse patterns such as Parquet, Delta Lake, Iceberg concepts, Databricks concepts, partitioning, and medallion-style curation. I am careful not to overstate weaker tools, but I learn quickly and have repeatedly adapted across enterprise platforms while keeping delivery grounded in correctness, reliability, documentation, and stakeholder value.</w:t>
      </w:r>
    </w:p>
    <w:p>
      <w:r>
        <w:rPr>
          <w:rFonts w:ascii="Arial" w:hAnsi="Arial"/>
          <w:sz w:val="22"/>
        </w:rPr>
        <w:t>Goldman Sachs' focus on building data foundations for AI and analytics aligns closely with my recent work connecting curated data products to ML forecasting and GenAI/Text-to-SQL use cases. I would bring a senior, delivery-focused mindset: building production-ready pipelines, improving data quality and reconciliation, communicating risks clearly, and helping teams turn platform standards into reliable operating practices.</w:t>
      </w:r>
    </w:p>
    <w:p>
      <w:r>
        <w:rPr>
          <w:rFonts w:ascii="Arial" w:hAnsi="Arial"/>
          <w:sz w:val="22"/>
        </w:rPr>
        <w:t>I would welcome the opportunity to discuss how my financial-services data platform experience can support Goldman's lakehouse and AI data platform initiatives.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