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AI Solutions Engineer | RAG &amp; Agentic Workflow Builder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AI solutions practitioner with 20+ years of enterprise technology experience across financial services, performance engineering, automation, and cloud data platforms. Strong hands-on experience with Python, SQL, PySpark/Spark concepts, AWS data services, ETL/ELT pipelines, telemetry analytics, RAG-style retrieval, vector embeddings, LLM APIs, MCP/tool integration, JSON quality gates, and agentic workflow automation. Experienced building proof-of-concept systems, demos, documentation, runbooks, and production-oriented troubleshooting workflows for complex enterprise teams. Positioned for AI engineering consulting roles that need practical cloud data engineering, GenAI application delivery, responsible implementation, and clear client-facing communication.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 and PySpark-oriented ETL pipelines ingesting telemetry from 6,000+ endpoints, transforming raw operational data into governed datasets for forecasting, reporting, and executive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components using S3 landing zones, AWS Glue, Redshift, EC2/ECS, and cloud migration patterns to modernize on-premise data processing workloads.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with Prophet and scikit-learn to predict infrastructure capacity bottlenecks months ahead, linking data engineering pipelines to AI/ML decision-support use cases.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TrueSight/TSCO, CA APM, and AppDynamics into unified reporting pipelines with validation, reconciliation, issue investigation, and operational support practices.</w:t>
      </w:r>
    </w:p>
    <w:p>
      <w:pPr>
        <w:pStyle w:val="ListBullet"/>
      </w:pPr>
      <w:r>
        <w:rPr>
          <w:rFonts w:ascii="Arial" w:hAnsi="Arial"/>
          <w:sz w:val="22"/>
        </w:rPr>
        <w:t>Created Streamlit, matplotlib, seaborn, plotly, and SQL-backed dashboards to make complex infrastructure and capacity data understandable for senior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platform, operations, and leadership teams to gather requirements, explain technical tradeoffs, document workflows, and troubleshoot production data and reporting issues.</w:t>
      </w:r>
    </w:p>
    <w:p>
      <w:pPr>
        <w:pStyle w:val="ListBullet"/>
      </w:pPr>
      <w:r>
        <w:rPr>
          <w:rFonts w:ascii="Arial" w:hAnsi="Arial"/>
          <w:sz w:val="22"/>
        </w:rPr>
        <w:t>Applied data quality, schema design, historical retention, and pipeline reliability practices in a regulated banking environment where correctness, auditability, and stakeholder trust mattered.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digital systems and converted real-user and synthetic telemetry into actionable engineering recommendations.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surface optimization opportunities for business-critical web and mobile experiences.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tracing, improving visibility into application behavior, user experience, and production performance patterns.</w:t>
      </w:r>
    </w:p>
    <w:p>
      <w:pPr>
        <w:pStyle w:val="ListBullet"/>
      </w:pPr>
      <w:r>
        <w:rPr>
          <w:rFonts w:ascii="Arial" w:hAnsi="Arial"/>
          <w:sz w:val="22"/>
        </w:rPr>
        <w:t>Contributed to AWS migration readiness discussions by evaluating monitoring coverage, observability gaps, and operational support requirements.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in a large financial-services environment with 50+ Enterprise Managers and 4,000–6,000 instrumented agents across enterprise applications.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management modules adopted as standards for monitoring, troubleshooting, and operational support workflows.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weekly performance reporting, replacing manual exports with repeatable data processing routines.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documentation, training materials, and knowledge-sharing content for engineering and operations teams supporting complex platform environments.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correctness and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routines to verify migration accuracy across high-volume transactional datasets.</w:t>
      </w:r>
    </w:p>
    <w:p>
      <w:pPr>
        <w:pStyle w:val="ListBullet"/>
      </w:pPr>
      <w:r>
        <w:rPr>
          <w:rFonts w:ascii="Arial" w:hAnsi="Arial"/>
          <w:sz w:val="22"/>
        </w:rPr>
        <w:t>Optimized database access and transaction-processing logic for mission-critical systems, reducing hardware footprint while maintaining low-latency behavior.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automation pipeline using Python, Claude Code, Grok APIs, semantic duplicate detection, LLM scoring, resume/cover tailoring, JSON quality gates, and application tracking.</w:t>
        <w:br/>
        <w:t>The system demonstrates RAG-style retrieval, vector embeddings, tool-assisted workflows, structured outputs, and practical AI application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LLM APIs, Claude Code, Grok API, FAISS, Sentence Transformers, MCP, RAG Concepts, JSON Contracts, Automation</w:t>
      </w:r>
    </w:p>
    <w:p>
      <w:r>
        <w:rPr>
          <w:rFonts w:ascii="Arial" w:hAnsi="Arial"/>
          <w:b/>
          <w:sz w:val="22"/>
        </w:rPr>
        <w:t>RAG / Answer Contract Proof-of-Concept Series</w:t>
      </w:r>
      <w:r>
        <w:rPr>
          <w:rFonts w:ascii="Arial" w:hAnsi="Arial"/>
          <w:sz w:val="22"/>
        </w:rPr>
        <w:br/>
        <w:t>Designed iterative RAG learning POCs covering document loading, chunking, retrieval, hybrid search, retrieval evaluation, answer contracts, citation traceability, and schema-driven quality gates for safer AI outputs.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Pydantic, TF-IDF, Vector Retrieval, RAG, Schema Contracts, Testing, Documentation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 and decision-support workflow that transforms infrastructure telemetry into capacity insights using Python, PySpark-oriented processing, Prophet, scikit-learn, Streamlit dashboards, and data validation practices.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Pandas, Data Quality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AWS data platform pattern using S3, Glue, Athena, Redshift, Parquet, and Bedrock concepts to support analytics, AI data access, and cost-aware query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Apache Parquet, PySpark, Amazon Bedrock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