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ETL Developer role supporting complex Oracle, SQL/PLSQL, and enterprise data warehouse pipelines. My background includes deep Oracle, SQL, PL/SQL-adjacent development, ETL, data migration, validation, performance tuning, and production data support across large enterprise environments.</w:t>
      </w:r>
    </w:p>
    <w:p>
      <w:r>
        <w:rPr>
          <w:rFonts w:ascii="Arial" w:hAnsi="Arial"/>
          <w:sz w:val="22"/>
        </w:rPr>
        <w:t>Much of my early and mid-career work centered on Oracle-heavy systems, including PL/SQL, Pro*C, OCCI/OCI, Oracle RAC, SQL optimization, and source-to-target validation. At Sabre, I led a major migration from 200+ MySQL nodes to a 6-node Oracle RAC cluster, building validation routines and performance improvements that helped preserve correctness and high-volume transaction behavior during modernization.</w:t>
      </w:r>
    </w:p>
    <w:p>
      <w:r>
        <w:rPr>
          <w:rFonts w:ascii="Arial" w:hAnsi="Arial"/>
          <w:sz w:val="22"/>
        </w:rPr>
        <w:t>At Citi, I built and supported repeatable ETL and reporting pipelines that ingested telemetry from thousands of endpoints and transformed it into trusted datasets for forecasting, reporting, and operational decision-making. That work required data modeling, schema design, SQL troubleshooting, quality checks, reconciliation, documentation, and close partnership with technical and business stakeholders.</w:t>
      </w:r>
    </w:p>
    <w:p>
      <w:r>
        <w:rPr>
          <w:rFonts w:ascii="Arial" w:hAnsi="Arial"/>
          <w:sz w:val="22"/>
        </w:rPr>
        <w:t>While Informatica IICS is not my strongest production tool, the underlying work of designing reliable ETL flows, validating source-to-target data, tuning Oracle/SQL behavior, documenting data flows, and supporting production pipelines is strongly aligned with my background. I bring a practical engineering style focused on correctness, maintainability, troubleshooting, and clear communication.</w:t>
      </w:r>
    </w:p>
    <w:p>
      <w:r>
        <w:rPr>
          <w:rFonts w:ascii="Arial" w:hAnsi="Arial"/>
          <w:sz w:val="22"/>
        </w:rPr>
        <w:t>I would welcome the opportunity to bring my Oracle, SQL, ETL, data modeling, and production support experience to Cloud and Things' public-sector data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