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Distinguished Engineer – Generative AI position at Slalom. With a 20-year career in data engineering and a strong focus on Generative AI systems and AWS architecture, I am eager to contribute to Slalom’s mission of driving innovation and building better tomorrows through cutting-edge technology solutions.</w:t>
      </w:r>
    </w:p>
    <w:p>
      <w:r>
        <w:rPr>
          <w:rFonts w:ascii="Arial" w:hAnsi="Arial"/>
          <w:sz w:val="22"/>
        </w:rPr>
        <w:t>My recent projects align directly with the requirements for designing and architecting GenAI compliance engines at Slalom. I developed an AI-Powered Job Search Pipeline in 2026, implementing Retrieval-Augmented Generation (RAG) workflows with FAISS vector embeddings and agentic AI orchestration using Claude Code and Grok (xAI) APIs. This involved multi-step agent workflows, quality gating, and semantic similarity matching—skills critical for building RAG pipelines and guardrails for regulated environments. Additionally, my Serverless Lakehouse Platform on AWS (using Glue, Athena, S3, and Bedrock) included a Text-to-SQL GenAI agent built with Claude 3 Sonnet, demonstrating hands-on expertise with AWS Bedrock and production GenAI systems.</w:t>
      </w:r>
    </w:p>
    <w:p>
      <w:r>
        <w:rPr>
          <w:rFonts w:ascii="Arial" w:hAnsi="Arial"/>
          <w:sz w:val="22"/>
        </w:rPr>
        <w:t>With deep expertise in AWS architecture and software engineering, I have delivered impactful solutions in complex enterprise environments. At CITI, as a Senior Capacity &amp; Data Engineer from 2017 to 2025, I architected automated ETL pipelines with Python and PySpark, processing telemetry data from over 6,000 endpoints. My HorizonScale AI Capacity Forecasting Engine (2025) reduced forecasting cycles by 90% using Prophet and scikit-learn, showcasing my ability to navigate ambiguity and transition concepts into functional software. These experiences, combined with my proficiency in MLOps practices for managing AI models, position me to define engineering standards and create repeatable architectural patterns for Slalom’s unprecedented challenges.</w:t>
      </w:r>
    </w:p>
    <w:p>
      <w:r>
        <w:rPr>
          <w:rFonts w:ascii="Arial" w:hAnsi="Arial"/>
          <w:sz w:val="22"/>
        </w:rPr>
        <w:t>I am thrilled at the opportunity to bring my expertise in Generative AI systems and AWS architecture to Slalom as a Distinguished Engineer – Generative AI. I would welcome the chance to discuss how my background in building production GenAI solutions and designing scalable architectures can contribute to your team’s success.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