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writing to apply for the Data Engineer position at Ekman Associates. With over 20 years of enterprise data engineering experience — including extensive API connector development, ETL/ELT pipeline design, AWS cloud data platforms, and lakehouse architecture — I am confident I can contribute immediately to your clients' data infrastructure needs.</w:t>
      </w:r>
    </w:p>
    <w:p>
      <w:r>
        <w:rPr>
          <w:rFonts w:ascii="Arial" w:hAnsi="Arial"/>
          <w:sz w:val="22"/>
        </w:rPr>
        <w:t>In my most recent role as Senior Data Engineer at Citi (2017–2025), I built and maintained API connectors that ingested P95 telemetry from more than 6,000 enterprise endpoints — pulling from BMC TrueSight, TSCO, and AppDynamics APIs — and delivering that data reliably into Oracle and AWS data stores. I designed and owned the full ETL/ELT stack: Python and PySpark pipelines for ingestion and transformation, automated data quality validation rules, robust logging and error handling, and a hybrid AWS lakehouse platform (S3 landing zone, AWS Glue for transformation, Redshift and Athena for analytics). Every pipeline I built was production-grade — monitored, documented, and built to fail safely.</w:t>
      </w:r>
    </w:p>
    <w:p>
      <w:r>
        <w:rPr>
          <w:rFonts w:ascii="Arial" w:hAnsi="Arial"/>
          <w:sz w:val="22"/>
        </w:rPr>
        <w:t>Your posting emphasizes lakehouse engineering, event-driven architecture, and data quality — areas where my background maps directly. I have hands-on experience with lakehouse patterns including Parquet/Snappy columnar storage and Medallion architecture (Bronze/Silver/Gold), and I have been building with Delta Lake and Databricks as part of my ongoing cloud modernization work. On event-driven concepts, my background includes MQ Series messaging systems at the IRS CADE project and real-time telemetry ingestion at scale — and I am actively deepening my Kafka and Kinesis knowledge. I am also well-versed in Airflow for orchestration and have worked in regulated, compliance-sensitive environments throughout my career at Citi.</w:t>
      </w:r>
    </w:p>
    <w:p>
      <w:r>
        <w:rPr>
          <w:rFonts w:ascii="Arial" w:hAnsi="Arial"/>
          <w:sz w:val="22"/>
        </w:rPr>
        <w:t>I am excited about the opportunity to apply this depth of experience to your clients' data engineering challenges. I would welcome the chance to discuss the role and the client engagement in more detail. Thank you for your consideration.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