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Capacity Planning Analyst role at Headway. The opportunity to support a mission-driven mental healthcare platform through rigorous capacity modeling and operational planning aligns directly with the work I have led across enterprise performance and data engineering environments.</w:t>
      </w:r>
    </w:p>
    <w:p>
      <w:r>
        <w:rPr>
          <w:rFonts w:ascii="Arial" w:hAnsi="Arial"/>
          <w:sz w:val="22"/>
        </w:rPr>
        <w:t>In my recent roles, I built Python/SQL forecasting and analytics workflows that translated complex operational telemetry into planning-ready signals for staffing, scaling, and budget decisions. I have consistently turned noisy workflow data into clear demand views, trend projections, and risk thresholds that help teams plan earlier and execute with fewer surprises.</w:t>
      </w:r>
    </w:p>
    <w:p>
      <w:r>
        <w:rPr>
          <w:rFonts w:ascii="Arial" w:hAnsi="Arial"/>
          <w:sz w:val="22"/>
        </w:rPr>
        <w:t>I work effectively across engineering, operations, and finance stakeholders, combining technical depth with practical communication. That cross-functional approach matches Headway's need to connect capacity insights to hiring plans, service levels, and long-term growth decisions in a fast-evolving environment.</w:t>
      </w:r>
    </w:p>
    <w:p>
      <w:r>
        <w:rPr>
          <w:rFonts w:ascii="Arial" w:hAnsi="Arial"/>
          <w:sz w:val="22"/>
        </w:rPr>
        <w:t>Thank you for your consideration. I would value the opportunity to discuss how my capacity planning, performance engineering, and data pipeline experience can support Headway's workforce strategy and mission impact.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