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AWS Data Engineer role with CCT. My background aligns strongly with AWS data pipelines, Glue, S3, Redshift, Python, SQL, ETL optimization, monitoring, documentation, and secure enterprise data delivery.</w:t>
      </w:r>
    </w:p>
    <w:p>
      <w:r>
        <w:rPr>
          <w:rFonts w:ascii="Arial" w:hAnsi="Arial"/>
          <w:sz w:val="22"/>
        </w:rPr>
        <w:t>At Citi, I built automated Python and Pandas ETL pipelines that ingested and standardized telemetry from 6,000+ enterprise endpoints. I also designed AWS-oriented data platform patterns using S3 landing zones, Glue-based ETL, Athena-style lake access, and Redshift analytics to support forecasting, reporting, and operational decision-making.</w:t>
      </w:r>
    </w:p>
    <w:p>
      <w:r>
        <w:rPr>
          <w:rFonts w:ascii="Arial" w:hAnsi="Arial"/>
          <w:sz w:val="22"/>
        </w:rPr>
        <w:t>Your role's focus on scalable AWS pipelines, data integration, storage solutions, IAM/security configuration, monitoring, logging, CI/CD quality gates, documentation, and training maps closely to my practical experience. I have built validation routines, optimized SQL and pipeline workflows, containerized Python ETL jobs, and supported production troubleshooting in regulated enterprise environments.</w:t>
      </w:r>
    </w:p>
    <w:p>
      <w:r>
        <w:rPr>
          <w:rFonts w:ascii="Arial" w:hAnsi="Arial"/>
          <w:sz w:val="22"/>
        </w:rPr>
        <w:t>I would bring a senior, hands-on approach to CCT's Casino Insight data ecosystem: design reliable data flows, keep access and documentation clean, monitor failures, improve repeatability, and support product teams with reusable data patterns. I am strongest in AWS Glue/S3/Redshift-style data engineering, while treating deeper CloudFormation/CDK, Kinesis, IAM policy administration, and security-benchmark implementation as areas I can ramp on from a strong AWS foundation.</w:t>
      </w:r>
    </w:p>
    <w:p>
      <w:r>
        <w:rPr>
          <w:rFonts w:ascii="Arial" w:hAnsi="Arial"/>
          <w:sz w:val="22"/>
        </w:rPr>
        <w:t>I would welcome the opportunity to help CCT deliver secure, scalable AWS data solutions that improve casino operations, revenue audits, compliance, and analytics.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