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| SQL, Oracle, Redshift, Glue &amp; Analytics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scalable data pipelines, analytical datasets, warehouse structures, metrics, dashboards, and data quality processes for business decision support. Strong hands-on background in SQL, Oracle, Python, Pandas, PySpark, Spark, AWS S3, Glue, Redshift, Athena-style analytics, ETL/ELT, OLAP-style reporting, query optimization, and stakeholder-facing insights. Experienced translating ambiguous business problems into reliable data models, curated datasets, reporting workflows, and executive-ready analytics in regulated enterprise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scalable analytical datasets using SQL, Oracle, Redshift, Python, Pandas, PySpark, Spark, AWS S3, Glue, and Athena-style lake access patterns.</w:t>
      </w:r>
    </w:p>
    <w:p>
      <w:pPr>
        <w:pStyle w:val="ListBullet"/>
      </w:pPr>
      <w:r>
        <w:rPr>
          <w:rFonts w:ascii="Arial" w:hAnsi="Arial"/>
          <w:sz w:val="22"/>
        </w:rPr>
        <w:t>Designed OLAP-style reporting structures, historical schemas, and curated datasets to support capacity analytics, seasonal forecasting, executive reporting,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Translated infrastructure and business questions into technical data requirements, analytical datasets, dashboards, and repeatable reporting outputs for senior stakeholders.</w:t>
      </w:r>
    </w:p>
    <w:p>
      <w:pPr>
        <w:pStyle w:val="ListBullet"/>
      </w:pPr>
      <w:r>
        <w:rPr>
          <w:rFonts w:ascii="Arial" w:hAnsi="Arial"/>
          <w:sz w:val="22"/>
        </w:rPr>
        <w:t>Developed optimized SQL queries, validation routines, reconciliation checks, and troubleshooting workflows to improve data integrity, accuracy, and reporting confidence.</w:t>
      </w:r>
    </w:p>
    <w:p>
      <w:pPr>
        <w:pStyle w:val="ListBullet"/>
      </w:pPr>
      <w:r>
        <w:rPr>
          <w:rFonts w:ascii="Arial" w:hAnsi="Arial"/>
          <w:sz w:val="22"/>
        </w:rPr>
        <w:t>Built dashboards and reporting workflows using Streamlit, matplotlib, seaborn, plotly, and enterprise telemetry to quantify utilization trends, capacity risks, and operational outcomes.</w:t>
      </w:r>
    </w:p>
    <w:p>
      <w:pPr>
        <w:pStyle w:val="ListBullet"/>
      </w:pPr>
      <w:r>
        <w:rPr>
          <w:rFonts w:ascii="Arial" w:hAnsi="Arial"/>
          <w:sz w:val="22"/>
        </w:rPr>
        <w:t>Automated recurring reporting and data preparation processes to reduce manual effort and enable more consistent self-service analytics for stakeholders.</w:t>
      </w:r>
    </w:p>
    <w:p>
      <w:pPr>
        <w:pStyle w:val="ListBullet"/>
      </w:pPr>
      <w:r>
        <w:rPr>
          <w:rFonts w:ascii="Arial" w:hAnsi="Arial"/>
          <w:sz w:val="22"/>
        </w:rPr>
        <w:t>Recommended improvements to source feeds, transformation logic, and reporting datasets to simplify analysis and improve accuracy of downstream outputs.</w:t>
      </w:r>
    </w:p>
    <w:p>
      <w:pPr>
        <w:pStyle w:val="ListBullet"/>
      </w:pPr>
      <w:r>
        <w:rPr>
          <w:rFonts w:ascii="Arial" w:hAnsi="Arial"/>
          <w:sz w:val="22"/>
        </w:rPr>
        <w:t>Documented data definitions, transformation logic, pipeline behavior, validation rules, and operational procedures for maintainability and knowledge transfer.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teams to preserve reporting continuity and monitoring quality during Dynatrace upgrade and TLS 1.2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Oracle,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