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Oracle, MySQL, SQL Performance &amp; Database Operations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/ Database Support Engineer with 20+ years of enterprise IT experience supporting high-volume transactional systems, Oracle and MySQL platforms, SQL performance tuning, data normalization, operational reporting, automation, runbooks, and production incident response. Strong hands-on background in Oracle RAC, MySQL-to-Oracle migration, PL/SQL, advanced SQL, C++/OCCI/OCI, Python, Korn Shell scripting, monitoring, performance remediation, validation routines, and mission-critical enterprise support. Experienced owning significant database and data platform components, improving operational readiness, and collaborating across engineering, operations, and security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Oracle schemas, historical retention structures, and reporting datasets supporting capacity analysis, seasonal forecasting,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SQL, Python, Pandas, PySpark, Spark, Oracle, Redshift, AWS S3, and Glue workflows to collect, normalize, validate, and analyze datasets across multiple data platforms.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balancing, and troubleshooting routines to improve accuracy, completeness, and reliability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schema access patterns, and pipeline workflows for performance, scalability, and maintainability across recurring data processing workloads.</w:t>
      </w:r>
    </w:p>
    <w:p>
      <w:pPr>
        <w:pStyle w:val="ListBullet"/>
      </w:pPr>
      <w:r>
        <w:rPr>
          <w:rFonts w:ascii="Arial" w:hAnsi="Arial"/>
          <w:sz w:val="22"/>
        </w:rPr>
        <w:t>Created monitoring-oriented reporting and operational dashboards using enterprise telemetry from BMC TrueSight, CA Wily, AppDynamics, and other production sources.</w:t>
      </w:r>
    </w:p>
    <w:p>
      <w:pPr>
        <w:pStyle w:val="ListBullet"/>
      </w:pPr>
      <w:r>
        <w:rPr>
          <w:rFonts w:ascii="Arial" w:hAnsi="Arial"/>
          <w:sz w:val="22"/>
        </w:rPr>
        <w:t>Improved runbooks, support documentation, and repeatable operational procedures for recurring reporting, troubleshooting,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Contributed to production issue diagnosis by tracing data problems across source systems, transformations, reporting layers, and downstream operational outputs.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mission-critical transaction volume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 to reduce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 and protect business-critical data integrity.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cutover support workflows during phased MySQL-to-Oracle platform migration.</w:t>
      </w:r>
    </w:p>
    <w:p>
      <w:pPr>
        <w:pStyle w:val="ListBullet"/>
      </w:pPr>
      <w:r>
        <w:rPr>
          <w:rFonts w:ascii="Arial" w:hAnsi="Arial"/>
          <w:sz w:val="22"/>
        </w:rPr>
        <w:t>Worked with high-volume relational data structures, Oracle RAC behavior, SQL access patterns, and production database performance considerations.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monitoring, alerting, production visibility,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upgrades and maintained reporting continuity through a Dynatrace 6.5 to 7.0 cutover with TLS 1.2 enforcement.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bottleneck findings used by engineering teams for production release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QA cycles, and defect triage for mission-critical telecom billing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shopping engine from 200+ MySQL nodes to a 6-node Oracle RAC cluster, built validation tooling, automated schema conversion, and optimized transaction processing for mission-critical workload reliability.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