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remote Sr. Data Engineer role with Sharkforce Consulting. I am a U.S. Citizen and eligible to pursue a Public Trust clearance, with a strong background in AWS data engineering, Python, SQL, Spark/PySpark, data quality, ML-ready datasets, and production pipeline support.</w:t>
      </w:r>
    </w:p>
    <w:p>
      <w:r>
        <w:rPr>
          <w:rFonts w:ascii="Arial" w:hAnsi="Arial"/>
          <w:sz w:val="22"/>
        </w:rPr>
        <w:t>At Citi, I built automated Python and Pandas ETL pipelines that ingested and standardized telemetry from 6,000+ enterprise endpoints. I also developed PySpark/Spark and AWS-oriented data platform patterns using S3, Glue, Redshift, and analytics workflows to support forecasting, reporting, operational monitoring, and ML-ready datasets.</w:t>
      </w:r>
    </w:p>
    <w:p>
      <w:r>
        <w:rPr>
          <w:rFonts w:ascii="Arial" w:hAnsi="Arial"/>
          <w:sz w:val="22"/>
        </w:rPr>
        <w:t>Your role's focus on scalable data pipelines, Databricks, Python, SQL, AWS services, validation, monitoring, entity resolution, probabilistic matching, de-duplication, feature engineering, and production pipeline operations maps well to my practical experience. I have built validation routines, reconciliation checks, Python processing scripts, model-ready datasets, and forecasting workflows using Prophet and scikit-learn.</w:t>
      </w:r>
    </w:p>
    <w:p>
      <w:r>
        <w:rPr>
          <w:rFonts w:ascii="Arial" w:hAnsi="Arial"/>
          <w:sz w:val="22"/>
        </w:rPr>
        <w:t>I would be transparent that my deepest production ML work is forecasting and ML-enabled data engineering rather than full ownership of entity-resolution models or Spark Structured Streaming in production. However, the core patterns are familiar: clean and standardize data, engineer reliable features, validate outputs, monitor drift or quality issues, tune performance, and work with data scientists and architects to operationalize useful data products.</w:t>
      </w:r>
    </w:p>
    <w:p>
      <w:r>
        <w:rPr>
          <w:rFonts w:ascii="Arial" w:hAnsi="Arial"/>
          <w:sz w:val="22"/>
        </w:rPr>
        <w:t>I would welcome the opportunity to help Sharkforce deliver reliable AWS and Spark-based data pipelines that improve entity matching, reduce duplicate records, and strengthen data quality across PCIS systems.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