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Production Pipelines, Spark, Airflow &amp; ML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deep hands-on strength in Python, SQL, ETL/ELT, PySpark, cloud data platforms, production pipeline reliability, and telemetry-driven operations. Built and operated large-scale data pipelines across 6,000+ infrastructure endpoints, supporting forecasting, executive analytics, observability, data quality, and cost-aware processing. Strong fit for production-grade batch and distributed data workflows, ML training data enablement, data contracts, schema quality, automated testing, documentation, and monitoring; strongest cloud experience is AWS with transferable experience across cloud storage, compute, governance, and secure data access.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endpoints, replacing manual processes with repeatable production data workflows used for capacity, risk,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using S3 landing zones, AWS Glue, Redshift, and optimized Oracle schemas to process infrastructure telemetry and support scalable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PySpark-enabled telemetry and forecasting workflows for large-scale data processing, including partitioning, historical retention, and performance tuning for analytics-ready datasets.</w:t>
      </w:r>
    </w:p>
    <w:p>
      <w:pPr>
        <w:pStyle w:val="ListBullet"/>
      </w:pPr>
      <w:r>
        <w:rPr>
          <w:rFonts w:ascii="Arial" w:hAnsi="Arial"/>
          <w:sz w:val="22"/>
        </w:rPr>
        <w:t>Migrated heavy ML forecasting workloads using Prophet and scikit-learn from on-prem Oracle processing toward Redshift-backed cloud execution, improving scalability for parallel forecasting scenarios.</w:t>
      </w:r>
    </w:p>
    <w:p>
      <w:pPr>
        <w:pStyle w:val="ListBullet"/>
      </w:pPr>
      <w:r>
        <w:rPr>
          <w:rFonts w:ascii="Arial" w:hAnsi="Arial"/>
          <w:sz w:val="22"/>
        </w:rPr>
        <w:t>Implemented operational reporting, data validation, dashboards, and alert-driven visibility across monitoring feeds including BMC TrueSight, CA Wily, and AppDynamics to support SLA-oriented production decisions.</w:t>
      </w:r>
    </w:p>
    <w:p>
      <w:pPr>
        <w:pStyle w:val="ListBullet"/>
      </w:pPr>
      <w:r>
        <w:rPr>
          <w:rFonts w:ascii="Arial" w:hAnsi="Arial"/>
          <w:sz w:val="22"/>
        </w:rPr>
        <w:t>Worked across engineering, operations, and leadership stakeholders to define data requirements, troubleshoot pipeline failures, document workflows, and improve reliability of data products used in regulated banking environments.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Synthetics monitoring for Brand.com and other critical hospitality systems, supporting production reliability through telemetry, transaction tracing, and operational dashboards.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performance metrics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no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 regression analysis.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enterprise environment with 50+ Enterprise Managers and 4,000–6,000 instrumented agents, supporting production monitoring, reliability, and telemetry governance.</w:t>
      </w:r>
    </w:p>
    <w:p>
      <w:pPr>
        <w:pStyle w:val="ListBullet"/>
      </w:pPr>
      <w:r>
        <w:rPr>
          <w:rFonts w:ascii="Arial" w:hAnsi="Arial"/>
          <w:sz w:val="22"/>
        </w:rPr>
        <w:t>Designed management modules, dashboards, alerts, and SLA thresholds that became reusable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Perl/Ksh extraction scripts and automated reporting workflows that replaced manual weekly exports and improved operational visibility.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investigate bottlenecks identified through APM telemetry and production monitoring data.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integrity and sub-second query behavior.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using C++, OCCI, OCI, and Oracle, reducing hardware footprint by 95% while maintaining high-volume data access requirements.</w:t>
      </w:r>
    </w:p>
    <w:p>
      <w:pPr>
        <w:pStyle w:val="ListBullet"/>
      </w:pPr>
      <w:r>
        <w:rPr>
          <w:rFonts w:ascii="Arial" w:hAnsi="Arial"/>
          <w:sz w:val="22"/>
        </w:rPr>
        <w:t>Built a C++/OCCI/OCI validation framework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reduce migration risk during phased cutover.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C/C++ and Pro*C billing interfaces using POSIX threads, sockets, Oracle, PL/SQL, and UNIX tooling for telecom-scale processing.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 by reducing memory usage 75%, increasing throughput 20%, and achieving 10x database performance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and enhanced EDI interfaces, invoicing workflows, settlement logic, and reporting components across the billing lifecycle.</w:t>
      </w:r>
    </w:p>
    <w:p>
      <w:pPr>
        <w:pStyle w:val="ListBullet"/>
      </w:pPr>
      <w:r>
        <w:rPr>
          <w:rFonts w:ascii="Arial" w:hAnsi="Arial"/>
          <w:sz w:val="22"/>
        </w:rPr>
        <w:t>Operated across HPUX, SunOS, and Linux environments with disciplined version control, troubleshooting, documentation, and production support practices.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Java, C++, C, Perl, Ksh / Korn Shell Scripting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 to replace manual forecasting cycles and support predictive infrastructure decisions.</w:t>
        <w:br/>
        <w:t>The project maps strongly to ML data enablement, production telemetry processing, model-ready datasets, and stakeholder-facing operational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Capacity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Redshift, Bedrock, and PySpark patterns.</w:t>
        <w:br/>
        <w:t>Focused on raw telemetry landing, ETL processing, Parquet optimization, query-ready datasets, and GenAI Text-to-SQL enablement.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Parquet,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local agentic data and document pipeline using Python, FAISS, sentence-transformers, Grok API, and structured quality gates.</w:t>
        <w:br/>
        <w:t>Includes semantic duplicate detection, LLM-based scoring, JSON artifact generation, document rendering, and application tracking with repeatable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AI Workflows,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