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AWS, PySpark, SQL &amp; Data Platform Modernization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experience, including banking-scale data platforms, Python/PySpark ETL, SQL optimization, AWS data services, and production observability. Strong background designing and supporting large-scale pipelines, governed data workflows, reporting layers, and operational controls in regulated financial environments. Currently expanding hands-on modern data stack capabilities across Snowflake, dbt, Delta Lake, Unity Catalog, and Terraform, with a practical bridge from AWS Glue, Athena, S3, Redshift, Spark, SQL, and enterprise governance.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processes with governed, repeatable data workflows.</w:t>
      </w:r>
    </w:p>
    <w:p>
      <w:pPr>
        <w:pStyle w:val="ListBullet"/>
      </w:pPr>
      <w:r>
        <w:rPr>
          <w:rFonts w:ascii="Arial" w:hAnsi="Arial"/>
          <w:sz w:val="22"/>
        </w:rPr>
        <w:t>Built a hybrid AWS/Oracle data platform using S3 landing zones, AWS Glue ETL, Redshift analytics workloads, and Oracle retention schemas to support scalable forecasting and reporting.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historical retention structures for large telemetry datasets, supporting seasonal analysis, performance review, and long-running enterprise reporting needs.</w:t>
      </w:r>
    </w:p>
    <w:p>
      <w:pPr>
        <w:pStyle w:val="ListBullet"/>
      </w:pPr>
      <w:r>
        <w:rPr>
          <w:rFonts w:ascii="Arial" w:hAnsi="Arial"/>
          <w:sz w:val="22"/>
        </w:rPr>
        <w:t>Developed PySpark and Python processing patterns for large-scale telemetry and capacity datasets, improving throughput, maintainability, and repeatability across pipeline workloads.</w:t>
      </w:r>
    </w:p>
    <w:p>
      <w:pPr>
        <w:pStyle w:val="ListBullet"/>
      </w:pPr>
      <w:r>
        <w:rPr>
          <w:rFonts w:ascii="Arial" w:hAnsi="Arial"/>
          <w:sz w:val="22"/>
        </w:rPr>
        <w:t>Created executive dashboards and reporting layers using Streamlit, matplotlib, seaborn, and plotly to turn infrastructure telemetry into stakeholder-ready business and operational insight.</w:t>
      </w:r>
    </w:p>
    <w:p>
      <w:pPr>
        <w:pStyle w:val="ListBullet"/>
      </w:pPr>
      <w:r>
        <w:rPr>
          <w:rFonts w:ascii="Arial" w:hAnsi="Arial"/>
          <w:sz w:val="22"/>
        </w:rPr>
        <w:t>Integrated monitoring feeds from BMC TrueSight/TSCO, CA Wily, and AppDynamics into unified reporting datasets, improving traceability and consistency across data sources.</w:t>
      </w:r>
    </w:p>
    <w:p>
      <w:pPr>
        <w:pStyle w:val="ListBullet"/>
      </w:pPr>
      <w:r>
        <w:rPr>
          <w:rFonts w:ascii="Arial" w:hAnsi="Arial"/>
          <w:sz w:val="22"/>
        </w:rPr>
        <w:t>Applied data quality, validation, and reconciliation practices to telemetry and reporting pipelines, supporting trusted outputs for capacity, provisioning, and infrastructure decision-making.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engineering, operations, and leadership teams in a regulated banking environment, translating complex platform issues into clear findings, next steps, and production improvements.</w:t>
      </w:r>
    </w:p>
    <w:p>
      <w:pPr>
        <w:pStyle w:val="ListBullet"/>
      </w:pPr>
      <w:r>
        <w:rPr>
          <w:rFonts w:ascii="Arial" w:hAnsi="Arial"/>
          <w:sz w:val="22"/>
        </w:rPr>
        <w:t>Supported production readiness through monitoring, alerting, incident analysis, runbook-style operational practices, and proactive issue prevention across data and observability workflows.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other critical systems, supporting production observability, transaction tracing, and performance analysis.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Built operational analytics and QLIK reporting around application performance data, helping stakeholders understand customer-impacting trends and system behavior.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with zero production monitoring regression during cutover.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 testing, transaction behavior, and APM telemetry for release readiness.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TIAA-CREF, managing 50+ Enterprise Managers and 4,000–6,000 instrumented agents across a large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thresholds, and operational reporting modules adopted as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automation for weekly performance reporting, reducing manual export effort and improving consistency.</w:t>
      </w:r>
    </w:p>
    <w:p>
      <w:pPr>
        <w:pStyle w:val="ListBullet"/>
      </w:pPr>
      <w:r>
        <w:rPr>
          <w:rFonts w:ascii="Arial" w:hAnsi="Arial"/>
          <w:sz w:val="22"/>
        </w:rPr>
        <w:t>Led large-scale CA APM upgrades with zero unplanned downtime, coordinating engineering, operations, and application teams.</w:t>
      </w:r>
    </w:p>
    <w:p>
      <w:pPr>
        <w:pStyle w:val="ListBullet"/>
      </w:pPr>
      <w:r>
        <w:rPr>
          <w:rFonts w:ascii="Arial" w:hAnsi="Arial"/>
          <w:sz w:val="22"/>
        </w:rPr>
        <w:t>Provided technical documentation, training, and troubleshooting guidance to improve support readiness and standardize operational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constraints, heap pressure, CPU saturation,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thread-dump automation scripts for real-time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as release gate inputs.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transaction volumes at extreme scale.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 and OCCI,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frameworks to verify migration correctness across millions of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processes to protect integrity through phased cutover.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S3, Glue, Athena, Bedrock, and PySpark patterns.</w:t>
        <w:br/>
        <w:t>Built Text-to-SQL GenAI capabilities and optimized Parquet/Snappy data access for scalable analytics and governed data consumption.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S3, PySpark, Bedrock,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AI-driven capacity forecasting engine using Python, PySpark, Prophet, scikit-learn, and Streamlit.</w:t>
        <w:br/>
        <w:t>Replaced manual forecasting workflows, created stakeholder-facing dashboards, and supported forecasting against banking-scale telemetry data.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automation pipeline with semantic duplicate detection, LLM-powered scoring, tailored document generation, quality gates, and tracking.</w:t>
        <w:br/>
        <w:t>Demonstrates practical Python orchestration, RAG-style retrieval, structured outputs, and AI-assisted development workflow design.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Claude Code, RAG, Agentic AI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