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maintaining optimal data pipelines for large-scale data processing using Python, SQL, and cloud platforms like AWS. Expert in building robust ETL/ELT processes, data warehousing, and ensuring data quality for actionable business insights. Skilled in leveraging AI/ML model building and data visualization tools to support data-driven decisions. Proven track record in collaborating with cross-functional teams to address complex challenges. Passionate about contributing to CVS Health’s mission of advancing healthcare through innovative data engineering solutions. Eager to apply expertise in data governance and schema design to drive impactful outcomes.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Built unified Oracle reporting solutions with executive dashboards by integrating disparate data feeds.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reporting workflows and data cleansing using Python scripts for improved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website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suggested performance improvements for enhanced system efficiency.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Collaborated with IT teams to troubleshoot performance issues in J2EE/WebLogic environments.</w:t>
      </w:r>
    </w:p>
    <w:p>
      <w:pPr>
        <w:pStyle w:val="ListBullet"/>
      </w:pPr>
      <w:r>
        <w:rPr>
          <w:rFonts w:ascii="Arial" w:hAnsi="Arial"/>
          <w:sz w:val="22"/>
        </w:rPr>
        <w:t>Optimized agent and enterprise manager installations for improved performance.</w:t>
      </w:r>
    </w:p>
    <w:p>
      <w:pPr>
        <w:pStyle w:val="ListBullet"/>
      </w:pPr>
      <w:r>
        <w:rPr>
          <w:rFonts w:ascii="Arial" w:hAnsi="Arial"/>
          <w:sz w:val="22"/>
        </w:rPr>
        <w:t>Documented implementations and supported client organizations with technical expertise.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high-performance data handling for a system processing 10x VISA’s throughput.</w:t>
      </w:r>
    </w:p>
    <w:p>
      <w:pPr>
        <w:pStyle w:val="ListBullet"/>
      </w:pPr>
      <w:r>
        <w:rPr>
          <w:rFonts w:ascii="Arial" w:hAnsi="Arial"/>
          <w:sz w:val="22"/>
        </w:rPr>
        <w:t>Collaborated with teams to refactor and enhance database architecture.</w:t>
      </w:r>
    </w:p>
    <w:p>
      <w:pPr>
        <w:pStyle w:val="ListBullet"/>
      </w:pPr>
      <w:r>
        <w:rPr>
          <w:rFonts w:ascii="Arial" w:hAnsi="Arial"/>
          <w:sz w:val="22"/>
        </w:rPr>
        <w:t>Documented migration processes for future scalability and maintenance.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ETL Design &amp; Optimization, Data Warehousing, AWS, Pandas, PySpark, Prophet / Time-Series Forecasting, scikit-learn, GenAI / LLM Agents, Streamlit, Git, Docker, Airflow, Linux/Unix, Ksh / Korn Shell Scripting, Capacity Planning / Forecasting, Hive/Hadoop, Multiprocessing, BMC TrueSight / TSCO, C++, PL/SQL, Oracle RAC, OCCI / OCI, Java, Perl,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with Snappy and Parquet compression.</w:t>
        <w:br/>
        <w:t>Optimized ETL processes for enterprise-scale data access.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Featured advanced ML models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