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Senior Cloud Capacity &amp; Efficiency Engineer | AWS/GCP Capacity Planning | Python/SQL Forecasting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Senior Cloud Capacity &amp; Efficiency Engineer with 20+ years of enterprise IT experience across capacity planning, infrastructure telemetry, data engineering, performance engineering, and cloud-scale analytics. Strong fit for cloud capacity and efficiency work through hands-on Python, SQL, PySpark, AWS, forecasting, telemetry pipelines, utilization analysis, rightsizing recommendations, and stakeholder-facing capacity reporting. Built forecasting and attribution-style data workflows using infrastructure telemetry from thousands of endpoints, supporting demand planning, bottleneck prediction, consolidation opportunities, cost-aware infrastructure decisions, and executive technology planning. AWS hands-on experience with transferable GCP cloud capacity concepts.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Planning &amp; Cloud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Owned capacity-planning analytics for large-scale enterprise infrastructure by ingesting P95 telemetry from 6,000+ endpoints into automated Python/Pandas and SQL workflows for demand planning, risk detection, and executive reporting.</w:t>
      </w:r>
    </w:p>
    <w:p>
      <w:pPr>
        <w:pStyle w:val="ListBullet"/>
      </w:pPr>
      <w:r>
        <w:rPr>
          <w:rFonts w:ascii="Arial" w:hAnsi="Arial"/>
          <w:sz w:val="22"/>
        </w:rPr>
        <w:t>Developed forecasting models using Prophet and scikit-learn to predict CPU, memory, and infrastructure capacity bottlenecks up to 6 months ahead with 90%+ accuracy, improving provisioning lead time and reducing reactive capacity decisions.</w:t>
      </w:r>
    </w:p>
    <w:p>
      <w:pPr>
        <w:pStyle w:val="ListBullet"/>
      </w:pPr>
      <w:r>
        <w:rPr>
          <w:rFonts w:ascii="Arial" w:hAnsi="Arial"/>
          <w:sz w:val="22"/>
        </w:rPr>
        <w:t>Built AWS-based capacity analytics pipelines using S3 landing zones, AWS Glue ETL, Amazon Redshift workloads, and historical telemetry models to support cloud-scale utilization, trend, and forecasting analysis.</w:t>
      </w:r>
    </w:p>
    <w:p>
      <w:pPr>
        <w:pStyle w:val="ListBullet"/>
      </w:pPr>
      <w:r>
        <w:rPr>
          <w:rFonts w:ascii="Arial" w:hAnsi="Arial"/>
          <w:sz w:val="22"/>
        </w:rPr>
        <w:t>Migrated heavy capacity forecasting workloads from on-prem Oracle processing to Amazon Redshift, enabling more scalable parallel analysis for infrastructure demand, utilization trends, and long-range planning.</w:t>
      </w:r>
    </w:p>
    <w:p>
      <w:pPr>
        <w:pStyle w:val="ListBullet"/>
      </w:pPr>
      <w:r>
        <w:rPr>
          <w:rFonts w:ascii="Arial" w:hAnsi="Arial"/>
          <w:sz w:val="22"/>
        </w:rPr>
        <w:t>Identified underutilized infrastructure through data mining across thousands of endpoints, supporting rightsizing, hardware consolidation, spend reduction opportunities, and improved allocation of compute capacity.</w:t>
      </w:r>
    </w:p>
    <w:p>
      <w:pPr>
        <w:pStyle w:val="ListBullet"/>
      </w:pPr>
      <w:r>
        <w:rPr>
          <w:rFonts w:ascii="Arial" w:hAnsi="Arial"/>
          <w:sz w:val="22"/>
        </w:rPr>
        <w:t>Produced capacity and efficiency reporting for senior technology stakeholders, translating telemetry, utilization, and forecast outputs into infrastructure planning recommendations and operational decision support.</w:t>
      </w:r>
    </w:p>
    <w:p>
      <w:pPr>
        <w:pStyle w:val="ListBullet"/>
      </w:pPr>
      <w:r>
        <w:rPr>
          <w:rFonts w:ascii="Arial" w:hAnsi="Arial"/>
          <w:sz w:val="22"/>
        </w:rPr>
        <w:t>Integrated monitoring and capacity feeds from BMC TrueSight/TSCO, CA Wily, and AppDynamics into unified reporting layers used for bottleneck detection, seasonal trend analysis, and platform capacity reviews.</w:t>
      </w:r>
    </w:p>
    <w:p>
      <w:pPr>
        <w:pStyle w:val="ListBullet"/>
      </w:pPr>
      <w:r>
        <w:rPr>
          <w:rFonts w:ascii="Arial" w:hAnsi="Arial"/>
          <w:sz w:val="22"/>
        </w:rPr>
        <w:t>Designed optimized Oracle schemas and historical retention structures for long-term telemetry history, seasonal workload patterns, capacity risk analysis, and forecast model training.</w:t>
      </w:r>
    </w:p>
    <w:p>
      <w:pPr>
        <w:pStyle w:val="ListBullet"/>
      </w:pPr>
      <w:r>
        <w:rPr>
          <w:rFonts w:ascii="Arial" w:hAnsi="Arial"/>
          <w:sz w:val="22"/>
        </w:rPr>
        <w:t>Containerized Python ETL jobs on EC2/ECS to support repeatable on-demand processing for recurring capacity forecasting, infrastructure analytics, and reporting pipelines.</w:t>
      </w:r>
    </w:p>
    <w:p>
      <w:pPr>
        <w:pStyle w:val="ListBullet"/>
      </w:pPr>
      <w:r>
        <w:rPr>
          <w:rFonts w:ascii="Arial" w:hAnsi="Arial"/>
          <w:sz w:val="22"/>
        </w:rPr>
        <w:t>Partnered with application, infrastructure, and operations teams to align capacity forecasts with platform demand, growth assumptions, remediation planning, and infrastructure optimization priorities.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Managed Dynatrace AppMon and Gomez Synthetic Monitoring for Brand.com and critical hospitality systems, translating real-user and synthetic telemetry into performance and optimization recommendations.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user performance metrics to identify opportunities adopted by engineering teams for critical revenue-generating digital systems.</w:t>
      </w:r>
    </w:p>
    <w:p>
      <w:pPr>
        <w:pStyle w:val="ListBullet"/>
      </w:pPr>
      <w:r>
        <w:rPr>
          <w:rFonts w:ascii="Arial" w:hAnsi="Arial"/>
          <w:sz w:val="22"/>
        </w:rPr>
        <w:t>Implemented End-User Monitoring and end-to-end transaction tracing across web and mobile applications, improving operational visibility into demand, latency, and user experience patterns.</w:t>
      </w:r>
    </w:p>
    <w:p>
      <w:pPr>
        <w:pStyle w:val="ListBullet"/>
      </w:pPr>
      <w:r>
        <w:rPr>
          <w:rFonts w:ascii="Arial" w:hAnsi="Arial"/>
          <w:sz w:val="22"/>
        </w:rPr>
        <w:t>Participated in AWS cloud migration planning by providing APM readiness assessment, monitoring requirements, and performance engineering input for cloud transition decisions.</w:t>
      </w:r>
    </w:p>
    <w:p>
      <w:r>
        <w:rPr>
          <w:rFonts w:ascii="Arial" w:hAnsi="Arial"/>
          <w:b/>
          <w:sz w:val="22"/>
        </w:rPr>
        <w:t>SME for CA APM (Senior Consultant) at CA Technologies 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Served as CA APM SME for an enterprise environment with 50+ Enterprise Managers and 4,000–6,000 instrumented agents, supporting large-scale telemetry collection and performance analysis.</w:t>
      </w:r>
    </w:p>
    <w:p>
      <w:pPr>
        <w:pStyle w:val="ListBullet"/>
      </w:pPr>
      <w:r>
        <w:rPr>
          <w:rFonts w:ascii="Arial" w:hAnsi="Arial"/>
          <w:sz w:val="22"/>
        </w:rPr>
        <w:t>Designed dashboards, alert thresholds, SLA monitoring, and management modules that became standard patterns across client environments.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to automate performance reporting and replace manual weekly exports.</w:t>
      </w:r>
    </w:p>
    <w:p>
      <w:pPr>
        <w:pStyle w:val="ListBullet"/>
      </w:pPr>
      <w:r>
        <w:rPr>
          <w:rFonts w:ascii="Arial" w:hAnsi="Arial"/>
          <w:sz w:val="22"/>
        </w:rPr>
        <w:t>Provided sizing recommendations, golden-image deployment guidance, and onboarding support for new monitored applications across J2EE/WebLogic environments.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while maintaining high transaction capacity and sub-second query latency.</w:t>
      </w:r>
    </w:p>
    <w:p>
      <w:pPr>
        <w:pStyle w:val="ListBullet"/>
      </w:pPr>
      <w:r>
        <w:rPr>
          <w:rFonts w:ascii="Arial" w:hAnsi="Arial"/>
          <w:sz w:val="22"/>
        </w:rPr>
        <w:t>Optimized C++/OCCI transaction processing and database access patterns, reducing physical hardware footprint by 95% while preserving performance requirements.</w:t>
      </w:r>
    </w:p>
    <w:p>
      <w:pPr>
        <w:pStyle w:val="ListBullet"/>
      </w:pPr>
      <w:r>
        <w:rPr>
          <w:rFonts w:ascii="Arial" w:hAnsi="Arial"/>
          <w:sz w:val="22"/>
        </w:rPr>
        <w:t>Built validation and testing frameworks to verify migration correctness across millions of transaction records during phased cutover.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r>
        <w:rPr>
          <w:rFonts w:ascii="Arial" w:hAnsi="Arial"/>
          <w:b/>
          <w:sz w:val="22"/>
        </w:rPr>
        <w:t xml:space="preserve">Languages: </w:t>
      </w:r>
      <w:r>
        <w:rPr>
          <w:rFonts w:ascii="Arial" w:hAnsi="Arial"/>
          <w:sz w:val="22"/>
        </w:rPr>
        <w:t>Python, SQL, PySpark, PL/SQL, Perl, Korn Shell/Ksh, C++, Java, XML, JSON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an AI-driven capacity forecasting engine using Python, PySpark, Prophet, scikit-learn, and Streamlit to replace manual forecasting workflows, predict infrastructure bottlenecks months ahead, and support cloud-style capacity planning, utilization analysis, and executive decision support.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PySpark, Prophet, scikit-learn, Streamlit, Capacity Planning, Cloud Capacity Forecasting, Telemetry Pipelines, Utilization Analysis</w:t>
      </w:r>
    </w:p>
    <w:p>
      <w:r>
        <w:rPr>
          <w:rFonts w:ascii="Arial" w:hAnsi="Arial"/>
          <w:b/>
          <w:sz w:val="22"/>
        </w:rPr>
        <w:t>AWS Serverless Lakehouse Platform</w:t>
      </w:r>
      <w:r>
        <w:rPr>
          <w:rFonts w:ascii="Arial" w:hAnsi="Arial"/>
          <w:sz w:val="22"/>
        </w:rPr>
        <w:br/>
        <w:t>Designed a serverless AWS data platform using S3, Glue, Athena, Redshift-oriented patterns, Parquet, and PySpark to support scalable ETL, data access, and enterprise analytics workloads.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Amazon Redshift, PySpark, Parquet</w:t>
      </w:r>
    </w:p>
    <w:p>
      <w:r>
        <w:rPr>
          <w:rFonts w:ascii="Arial" w:hAnsi="Arial"/>
          <w:b/>
          <w:sz w:val="22"/>
        </w:rPr>
        <w:t>FAST Performance Telemetry Analytics</w:t>
      </w:r>
      <w:r>
        <w:rPr>
          <w:rFonts w:ascii="Arial" w:hAnsi="Arial"/>
          <w:sz w:val="22"/>
        </w:rPr>
        <w:br/>
        <w:t>Data-mined real-user and synthetic monitoring telemetry to produce optimization recommendations for critical digital systems and engineering stakeholders.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Dynatrace, Gomez Synthetic Monitoring, Telemetry Analysis, Performance Engineering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