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06,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Performance Engineer role with CSS Tec. My background aligns strongly with performance engineering, LoadRunner/HP Performance Center exposure, Dynatrace/AppDynamics/CA APM observability, Java/J2EE diagnostics, AWS-aware platform analysis, and capacity forecasting for mission-critical enterprise systems.</w:t>
      </w:r>
    </w:p>
    <w:p>
      <w:r>
        <w:rPr>
          <w:rFonts w:ascii="Arial" w:hAnsi="Arial"/>
          <w:sz w:val="22"/>
        </w:rPr>
        <w:t>At Citi, I led capacity and performance analytics across banking infrastructure using telemetry from more than 6,000 endpoints. I built Python and Pandas pipelines that integrated BMC TrueSight/TSCO, CA APM, and AppDynamics data into governed reporting datasets, then used dashboards, trend analysis, and forecasting models to identify bottlenecks and communicate risk to senior stakeholders.</w:t>
      </w:r>
    </w:p>
    <w:p>
      <w:r>
        <w:rPr>
          <w:rFonts w:ascii="Arial" w:hAnsi="Arial"/>
          <w:sz w:val="22"/>
        </w:rPr>
        <w:t>Earlier in my career, I worked directly in performance engineering and APM-heavy roles. At G6 Hospitality, I managed Dynatrace AppMon and Gomez Synthetic Monitoring, integrated HP Performance Center with Dynatrace, and used real-user and synthetic performance metrics to provide optimization recommendations. At AT&amp;T, I analyzed J2EE applications under load, diagnosed JVM/thread/JDBC/CPU bottlenecks, and documented baselines and release thresholds for engineering teams.</w:t>
      </w:r>
    </w:p>
    <w:p>
      <w:r>
        <w:rPr>
          <w:rFonts w:ascii="Arial" w:hAnsi="Arial"/>
          <w:sz w:val="22"/>
        </w:rPr>
        <w:t>The CSS Tec role is a strong fit because it combines hands-on performance testing, APM observability, cloud-native performance analysis, root-cause diagnosis, reporting, and technical leadership. I can contribute immediately in performance strategy, workload analysis, telemetry interpretation, stakeholder-ready reporting, and practical tuning recommendations, while being careful and transparent around tools where my experience is adjacent, such as K6, Gatling, Datadog, and New Relic.</w:t>
      </w:r>
    </w:p>
    <w:p>
      <w:r>
        <w:rPr>
          <w:rFonts w:ascii="Arial" w:hAnsi="Arial"/>
          <w:sz w:val="22"/>
        </w:rPr>
        <w:t>I would welcome the opportunity to help CSS Tec deliver reliable, scalable, and well-instrumented performance engineering outcomes for large-scale enterprise applications.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