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Performance Testing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 with 20+ years of enterprise IT experience spanning performance testing, APM/observability, capacity planning, data analysis, and production diagnostics. Strong fit for performance testing and engineering roles requiring HP LoadRunner-style testing, Dynatrace/AppDynamics/APM analysis, Python and Java/J2EE troubleshooting, stakeholder reporting, and performance bottleneck identification across application, database, and infrastructure layers. Experienced building dashboards, reports, baselines, and tuning recommendations for large enterprise systems while partnering with engineering, infrastructure, and business stakeholders.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 and Pandas pipelines ingesting P95 telemetry from 6,000+ infrastructure endpoints, replacing manual reporting with repeatable performance and capacity analytics workflows.</w:t>
      </w:r>
    </w:p>
    <w:p>
      <w:pPr>
        <w:pStyle w:val="ListBullet"/>
      </w:pPr>
      <w:r>
        <w:rPr>
          <w:rFonts w:ascii="Arial" w:hAnsi="Arial"/>
          <w:sz w:val="22"/>
        </w:rPr>
        <w:t>Developed executive dashboards and performance reports using Streamlit, matplotlib, seaborn, and plotly to surface utilization, bottleneck risk, capacity trends, and operational efficiency metrics.</w:t>
      </w:r>
    </w:p>
    <w:p>
      <w:pPr>
        <w:pStyle w:val="ListBullet"/>
      </w:pPr>
      <w:r>
        <w:rPr>
          <w:rFonts w:ascii="Arial" w:hAnsi="Arial"/>
          <w:sz w:val="22"/>
        </w:rPr>
        <w:t>Performed infrastructure and application capacity analysis using BMC TrueSight/TSCO, CA APM, AppDynamics, Oracle, Python, and statistical models to identify risks and recommend optimization actions.</w:t>
      </w:r>
    </w:p>
    <w:p>
      <w:pPr>
        <w:pStyle w:val="ListBullet"/>
      </w:pPr>
      <w:r>
        <w:rPr>
          <w:rFonts w:ascii="Arial" w:hAnsi="Arial"/>
          <w:sz w:val="22"/>
        </w:rPr>
        <w:t>Created forecasting models with Prophet and scikit-learn to predict capacity bottlenecks months ahead, improving planning discipline and helping stakeholders act before performance degradation.</w:t>
      </w:r>
    </w:p>
    <w:p>
      <w:pPr>
        <w:pStyle w:val="ListBullet"/>
      </w:pPr>
      <w:r>
        <w:rPr>
          <w:rFonts w:ascii="Arial" w:hAnsi="Arial"/>
          <w:sz w:val="22"/>
        </w:rPr>
        <w:t>Integrated monitoring feeds from TrueSight, CA Wily/APM, and AppDynamics into unified reporting datasets with validation, reconciliation, and data quality checks.</w:t>
      </w:r>
    </w:p>
    <w:p>
      <w:pPr>
        <w:pStyle w:val="ListBullet"/>
      </w:pPr>
      <w:r>
        <w:rPr>
          <w:rFonts w:ascii="Arial" w:hAnsi="Arial"/>
          <w:sz w:val="22"/>
        </w:rPr>
        <w:t>Translated technical telemetry into business-facing findings, recommendations, and recurring reporting for senior stakeholders in a regulated financial-services environment.</w:t>
      </w:r>
    </w:p>
    <w:p>
      <w:pPr>
        <w:pStyle w:val="ListBullet"/>
      </w:pPr>
      <w:r>
        <w:rPr>
          <w:rFonts w:ascii="Arial" w:hAnsi="Arial"/>
          <w:sz w:val="22"/>
        </w:rPr>
        <w:t>Supported production troubleshooting and root-cause analysis by correlating infrastructure metrics, application telemetry, historical trends, and operational events.</w:t>
      </w:r>
    </w:p>
    <w:p>
      <w:pPr>
        <w:pStyle w:val="ListBullet"/>
      </w:pPr>
      <w:r>
        <w:rPr>
          <w:rFonts w:ascii="Arial" w:hAnsi="Arial"/>
          <w:sz w:val="22"/>
        </w:rPr>
        <w:t>Maintained documentation, runbook-style notes, and repeatable reporting procedures to support governance, knowledge sharing, and consistent stakeholder communication.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visibility into production performance and user experience.</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end-to-end transaction tracing across web and mobile systems to support performance diagnostics and release readiness.</w:t>
      </w:r>
    </w:p>
    <w:p>
      <w:pPr>
        <w:pStyle w:val="ListBullet"/>
      </w:pPr>
      <w:r>
        <w:rPr>
          <w:rFonts w:ascii="Arial" w:hAnsi="Arial"/>
          <w:sz w:val="22"/>
        </w:rPr>
        <w:t>Integrated HP Performance Center with Dynatrace to correlate load-test behavior with APM telemetry and help engineering teams isolate bottlenecks.</w:t>
      </w:r>
    </w:p>
    <w:p>
      <w:pPr>
        <w:pStyle w:val="ListBullet"/>
      </w:pPr>
      <w:r>
        <w:rPr>
          <w:rFonts w:ascii="Arial" w:hAnsi="Arial"/>
          <w:sz w:val="22"/>
        </w:rPr>
        <w:t>Upgraded Dynatrace AppMon and enforced TLS 1.2 security with no regression in production monitoring coverage during cutover.</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enterprise environment with 50+ Enterprise Managers and 4,000–6,000 instrumented agents.</w:t>
      </w:r>
    </w:p>
    <w:p>
      <w:pPr>
        <w:pStyle w:val="ListBullet"/>
      </w:pPr>
      <w:r>
        <w:rPr>
          <w:rFonts w:ascii="Arial" w:hAnsi="Arial"/>
          <w:sz w:val="22"/>
        </w:rPr>
        <w:t>Designed dashboards, alerts, SLA thresholds, and management modules that improved performance visibility and became standards across client environments.</w:t>
      </w:r>
    </w:p>
    <w:p>
      <w:pPr>
        <w:pStyle w:val="ListBullet"/>
      </w:pPr>
      <w:r>
        <w:rPr>
          <w:rFonts w:ascii="Arial" w:hAnsi="Arial"/>
          <w:sz w:val="22"/>
        </w:rPr>
        <w:t>Built Perl and Korn Shell data-extraction scripts to automate performance reporting and reduce manual weekly export work.</w:t>
      </w:r>
    </w:p>
    <w:p>
      <w:pPr>
        <w:pStyle w:val="ListBullet"/>
      </w:pPr>
      <w:r>
        <w:rPr>
          <w:rFonts w:ascii="Arial" w:hAnsi="Arial"/>
          <w:sz w:val="22"/>
        </w:rPr>
        <w:t>Partnered with J2EE/WebLogic teams to diagnose bottlenecks using APM telemetry, SQL/Oracle signals, thread behavior, JVM symptoms, and infrastructure metrics.</w:t>
      </w:r>
    </w:p>
    <w:p>
      <w:pPr>
        <w:pStyle w:val="ListBullet"/>
      </w:pPr>
      <w:r>
        <w:rPr>
          <w:rFonts w:ascii="Arial" w:hAnsi="Arial"/>
          <w:sz w:val="22"/>
        </w:rPr>
        <w:t>Provided sizing recommendations, monitoring onboarding guidance, technical documentation, and client training for production troubleshooting and performance operations.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and resource bottlenecks across JDBC connections, threads, heap memory, CPU, and garbage collection.</w:t>
      </w:r>
    </w:p>
    <w:p>
      <w:pPr>
        <w:pStyle w:val="ListBullet"/>
      </w:pPr>
      <w:r>
        <w:rPr>
          <w:rFonts w:ascii="Arial" w:hAnsi="Arial"/>
          <w:sz w:val="22"/>
        </w:rPr>
        <w:t>Installed and configured JMX Monitoring, Wily Introscope, and thread-dump automation scripts for real-time visibility during performance test execution.</w:t>
      </w:r>
    </w:p>
    <w:p>
      <w:pPr>
        <w:pStyle w:val="ListBullet"/>
      </w:pPr>
      <w:r>
        <w:rPr>
          <w:rFonts w:ascii="Arial" w:hAnsi="Arial"/>
          <w:sz w:val="22"/>
        </w:rPr>
        <w:t>Documented performance baselines, regression thresholds, and tuning findings used by engineering teams for release-gate decisions.</w:t>
      </w:r>
    </w:p>
    <w:p>
      <w:pPr>
        <w:pStyle w:val="ListBullet"/>
      </w:pPr>
      <w:r>
        <w:rPr>
          <w:rFonts w:ascii="Arial" w:hAnsi="Arial"/>
          <w:sz w:val="22"/>
        </w:rPr>
        <w:t>Supported performance test analysis and optimization for enterprise applications using LoadRunner-era performance engineering practices and APM correlation.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strict transaction performance expectations.</w:t>
      </w:r>
    </w:p>
    <w:p>
      <w:pPr>
        <w:pStyle w:val="ListBullet"/>
      </w:pPr>
      <w:r>
        <w:rPr>
          <w:rFonts w:ascii="Arial" w:hAnsi="Arial"/>
          <w:sz w:val="22"/>
        </w:rPr>
        <w:t>Optimized core transaction processing using C++, OCCI, OCI, SQL, and Oracle, reducing hardware footprint while maintaining sub-second query latency.</w:t>
      </w:r>
    </w:p>
    <w:p>
      <w:pPr>
        <w:pStyle w:val="ListBullet"/>
      </w:pPr>
      <w:r>
        <w:rPr>
          <w:rFonts w:ascii="Arial" w:hAnsi="Arial"/>
          <w:sz w:val="22"/>
        </w:rPr>
        <w:t>Built C++/OCCI/OCI validation tooling to verify migration correctness and performance behavior across large transaction datasets.</w:t>
      </w:r>
    </w:p>
    <w:p>
      <w:pPr>
        <w:pStyle w:val="ListBullet"/>
      </w:pPr>
      <w:r>
        <w:rPr>
          <w:rFonts w:ascii="Arial" w:hAnsi="Arial"/>
          <w:sz w:val="22"/>
        </w:rPr>
        <w:t>Automated schema conversion and data validation workflows to protect data integrity through phased cutover.</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Cloud &amp; Data: </w:t>
      </w:r>
      <w:r>
        <w:rPr>
          <w:rFonts w:ascii="Arial" w:hAnsi="Arial"/>
          <w:sz w:val="22"/>
        </w:rPr>
        <w:t>AWS S3, AWS Glue, Athena, Redshift, EC2, ECS, PySpark, Apache Spark, Oracle, Oracle RAC, PostgreSQL, MySQL, SQL Server concepts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Designed a capacity forecasting engine using Python, PySpark, Prophet, scikit-learn, and Streamlit to convert enterprise telemetry into bottleneck predictions, utilization dashboards,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Analytics, Capacity Forecasting</w:t>
      </w:r>
    </w:p>
    <w:p>
      <w:r>
        <w:rPr>
          <w:rFonts w:ascii="Arial" w:hAnsi="Arial"/>
          <w:b/>
          <w:sz w:val="22"/>
        </w:rPr>
        <w:t>FAST Project</w:t>
      </w:r>
      <w:r>
        <w:rPr>
          <w:rFonts w:ascii="Arial" w:hAnsi="Arial"/>
          <w:sz w:val="22"/>
        </w:rPr>
        <w:br/>
        <w:t>Mined real-user and synthetic performance metrics from Dynatrace and Gomez Synthetic Monitoring to identify performance improvements for critical revenue-generating systems.</w:t>
      </w:r>
      <w:r>
        <w:rPr>
          <w:rFonts w:ascii="Arial" w:hAnsi="Arial"/>
          <w:sz w:val="22"/>
        </w:rPr>
        <w:br/>
      </w:r>
      <w:r>
        <w:rPr>
          <w:rFonts w:ascii="Arial" w:hAnsi="Arial"/>
          <w:b/>
          <w:sz w:val="22"/>
        </w:rPr>
        <w:t xml:space="preserve">Technologies: </w:t>
      </w:r>
      <w:r>
        <w:rPr>
          <w:rFonts w:ascii="Arial" w:hAnsi="Arial"/>
          <w:sz w:val="22"/>
        </w:rPr>
        <w:t>Dynatrace, Gomez Synthetic Monitoring, EUM/RUM, Performance Analytics, APM</w:t>
      </w:r>
    </w:p>
    <w:p>
      <w:r>
        <w:rPr>
          <w:rFonts w:ascii="Arial" w:hAnsi="Arial"/>
          <w:b/>
          <w:sz w:val="22"/>
        </w:rPr>
        <w:t>Serverless Lakehouse Platform (AWS)</w:t>
      </w:r>
      <w:r>
        <w:rPr>
          <w:rFonts w:ascii="Arial" w:hAnsi="Arial"/>
          <w:sz w:val="22"/>
        </w:rPr>
        <w:br/>
        <w:t>Designed an AWS data platform pattern using S3, Glue, Athena, Redshift, PySpark, Parquet, and compression concepts for cloud-scale ingestion, transformation, query, and analytics workloads.</w:t>
      </w:r>
      <w:r>
        <w:rPr>
          <w:rFonts w:ascii="Arial" w:hAnsi="Arial"/>
          <w:sz w:val="22"/>
        </w:rPr>
        <w:br/>
      </w:r>
      <w:r>
        <w:rPr>
          <w:rFonts w:ascii="Arial" w:hAnsi="Arial"/>
          <w:b/>
          <w:sz w:val="22"/>
        </w:rPr>
        <w:t xml:space="preserve">Technologies: </w:t>
      </w:r>
      <w:r>
        <w:rPr>
          <w:rFonts w:ascii="Arial" w:hAnsi="Arial"/>
          <w:sz w:val="22"/>
        </w:rPr>
        <w:t>AWS S3, AWS Glue, Athena, Amazon Redshift, PySpark, Parquet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