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Sr. Performance Engineer role with First Citizens Bank / SVB. My background aligns strongly with banking and financial-services performance engineering, LoadRunner/Performance Center, JMeter-style testing, Java/J2EE diagnostics, Dynatrace/APM monitoring, Python scripting, and root-cause performance analysis.</w:t>
      </w:r>
    </w:p>
    <w:p>
      <w:r>
        <w:rPr>
          <w:rFonts w:ascii="Arial" w:hAnsi="Arial"/>
          <w:sz w:val="22"/>
        </w:rPr>
        <w:t>At AT&amp;T, I worked as a Performance Test Engineer analyzing J2EE telecom applications under load, identifying throughput limits and bottlenecks across JDBC connections, threads, heap memory, CPU, and garbage collection. I used LoadRunner/Performance Center-style testing practices, JMX monitoring, Wily Introscope, and thread-dump automation to support test execution, performance baselines, and release-gate decisions.</w:t>
      </w:r>
    </w:p>
    <w:p>
      <w:r>
        <w:rPr>
          <w:rFonts w:ascii="Arial" w:hAnsi="Arial"/>
          <w:sz w:val="22"/>
        </w:rPr>
        <w:t>My financial-services experience is also directly relevant. At Citi, I built telemetry and capacity analytics pipelines for enterprise banking systems, integrating performance and infrastructure data from BMC TrueSight, CA APM, and AppDynamics into reporting datasets and dashboards. At CA Technologies / TIAA-CREF, I supported a large APM environment and partnered with J2EE/WebLogic teams to diagnose bottlenecks using application telemetry, JVM indicators, SQL/Oracle signals, thread behavior, and infrastructure metrics.</w:t>
      </w:r>
    </w:p>
    <w:p>
      <w:r>
        <w:rPr>
          <w:rFonts w:ascii="Arial" w:hAnsi="Arial"/>
          <w:sz w:val="22"/>
        </w:rPr>
        <w:t>For this role, I would bring a practical senior performance profile: defining performance requirements, designing test plans, supporting LoadRunner/JMeter-style execution, analyzing thread/heap/GC behavior, documenting findings, mentoring engineers, and communicating actionable tuning recommendations to stakeholders. For NeoLoad, I would position it carefully as adjacent to my LoadRunner and JMeter performance-testing background while ramping quickly on the specific tool.</w:t>
      </w:r>
    </w:p>
    <w:p>
      <w:r>
        <w:rPr>
          <w:rFonts w:ascii="Arial" w:hAnsi="Arial"/>
          <w:sz w:val="22"/>
        </w:rPr>
        <w:t>I would welcome the opportunity to help First Citizens Bank strengthen performance engineering practices, improve release confidence, and deliver clear performance insights across banking platforms.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