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banking, financial services, telecom, hospitality, performance engineering, observability, and capacity analytics. Strong background in performance test strategy, workload modeling, LoadRunner/Performance Center, JMeter-style testing, Dynatrace/AppDynamics/APM, Java/J2EE diagnostics, Python automation, SQL/Oracle analysis, dashboards, RCA, and stakeholder-ready reporting. Experienced defining KPIs, SLAs/SLOs, performance baselines, capacity models, and actionable tuning recommendations for large-scale, regulated, transaction-heavy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utilization risk, peak patterns, bottlenecks, resiliency concerns,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Defined and reported performance KPIs, capacity trends, peak calendars, risk indicators, and recommendations for senior stakeholders and operational teams.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performance trend analysis, forecasting, and operational 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capacity risk, and tuning recommendations.</w:t>
      </w:r>
    </w:p>
    <w:p>
      <w:pPr>
        <w:pStyle w:val="ListBullet"/>
      </w:pPr>
      <w:r>
        <w:rPr>
          <w:rFonts w:ascii="Arial" w:hAnsi="Arial"/>
          <w:sz w:val="22"/>
        </w:rPr>
        <w:t>Supported root-cause analysis by correlating monitoring data, workload behavior, application performance signals,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baselines, validation checks, operating procedures, and performance reporting workflows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systems, supporting production performance monitoring and engineering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behavior.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telemetry into clear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Unix environments.</w:t>
      </w:r>
    </w:p>
    <w:p>
      <w:pPr>
        <w:pStyle w:val="ListBullet"/>
      </w:pPr>
      <w:r>
        <w:rPr>
          <w:rFonts w:ascii="Arial" w:hAnsi="Arial"/>
          <w:sz w:val="22"/>
        </w:rPr>
        <w:t>Improved throughput and database performance in billing processes through SQL tuning, sequence optimization, memory reduction, and interface-level performance analysis.</w:t>
      </w:r>
    </w:p>
    <w:p>
      <w:pPr>
        <w:pStyle w:val="ListBullet"/>
      </w:pPr>
      <w:r>
        <w:rPr>
          <w:rFonts w:ascii="Arial" w:hAnsi="Arial"/>
          <w:sz w:val="22"/>
        </w:rPr>
        <w:t>Built and maintained integration components using enterprise messaging and interface patterns, including MQ Series and XML-based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with Korn Shell scripting, reducing manual operational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RCA inputs,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detect capacity bottlenecks and support proactive performance-risk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Capacity Forecasting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J2EE Performance Diagnostics and Release Validation</w:t>
      </w:r>
      <w:r>
        <w:rPr>
          <w:rFonts w:ascii="Arial" w:hAnsi="Arial"/>
          <w:sz w:val="22"/>
        </w:rPr>
        <w:br/>
        <w:t>Supported load and regression performance validation for J2EE applications using LoadRunner/Performance Center-style practices, JMX monitoring, Wily Introscope, and thread-dump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LoadRunner, Performance Center, J2EE, JMX, Wily Introscope, Thread Dumps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