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AWS, Spark, SQL, ETL Modernization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technology experience across AWS data platforms, Spark/PySpark, SQL, ETL modernization, data modeling, data quality, telemetry pipelines, and production reporting systems. Strong background leading cross-functional technical work, translating business requirements into scalable data solutions, optimizing high-volume data workflows, and documenting reliable production processes. Best aligned to roles needing AWS, Spark/PySpark, SQL, ETL migration, data validation, stakeholder communication, and technical leadership; Databricks, Scala, Workday HCM, and Informatica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design and delivery of Python, Pandas, PySpark, SQL, and AWS-based data pipelines ingesting telemetry from 6,000+ infrastructure endpoints for enterprise analytics and forecasting.</w:t>
      </w:r>
    </w:p>
    <w:p>
      <w:pPr>
        <w:pStyle w:val="ListBullet"/>
      </w:pPr>
      <w:r>
        <w:rPr>
          <w:rFonts w:ascii="Arial" w:hAnsi="Arial"/>
          <w:sz w:val="22"/>
        </w:rPr>
        <w:t>Designed AWS data platform components using S3 landing zones, AWS Glue, Athena, Redshift, Oracle, SQL, and PySpark to support scalable reporting, transformation, and model-ready datasets.</w:t>
      </w:r>
    </w:p>
    <w:p>
      <w:pPr>
        <w:pStyle w:val="ListBullet"/>
      </w:pPr>
      <w:r>
        <w:rPr>
          <w:rFonts w:ascii="Arial" w:hAnsi="Arial"/>
          <w:sz w:val="22"/>
        </w:rPr>
        <w:t>Modernized manual and legacy reporting workflows into repeatable ETL pipelines, improving reliability, maintainability, and stakeholder access to curated data.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historical retention models, and partitioning patterns for performance, scalability,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reporting structures, dashboards, and operational data products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Mentored and coordinated across infrastructure, monitoring, application, and analytics teams to resolve production data issues and improve delivery outcomes.</w:t>
      </w:r>
    </w:p>
    <w:p>
      <w:pPr>
        <w:pStyle w:val="ListBullet"/>
      </w:pPr>
      <w:r>
        <w:rPr>
          <w:rFonts w:ascii="Arial" w:hAnsi="Arial"/>
          <w:sz w:val="22"/>
        </w:rPr>
        <w:t>Documented pipeline logic, metric definitions, operational runbooks, support steps, and architecture decisions to improve governance, knowledge transfer, and production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