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/ PySpark Data Engineer | Lakehouse Migration, SQL Optimization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AWS data platforms, Python, SQL, PySpark/Spark, ETL/ELT, data migration, reconciliation, data quality validation, Hadoop/Hive concepts, Parquet-based lakehouse patterns, and production reporting systems. Strong background transforming legacy/on-prem data workflows into scalable cloud analytics platforms using S3, Glue, Athena, Redshift, Oracle, Spark/PySpark, partitioning, schema design, and SQL optimization. Best aligned to AWS lakehouse migration roles requiring practical data engineering, large-scale processing, data quality, and stakeholder-ready reporting; Snowflake, Apache Iceberg, Kafka, and Kubernetes are positioned as adjacent or active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reporting, analytics, and forecasting workloads.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business and technical stakeholders.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 Oracle patterns toward AWS/Redshift-backed processing, improving scalability and enabling cloud-based reporting workflows.</w:t>
      </w:r>
    </w:p>
    <w:p>
      <w:pPr>
        <w:pStyle w:val="ListBullet"/>
      </w:pPr>
      <w:r>
        <w:rPr>
          <w:rFonts w:ascii="Arial" w:hAnsi="Arial"/>
          <w:sz w:val="22"/>
        </w:rPr>
        <w:t>Applied Parquet, partitioning concepts, schema design, and SQL optimization patterns to improve large-scale data processing and reporting access.</w:t>
      </w:r>
    </w:p>
    <w:p>
      <w:pPr>
        <w:pStyle w:val="ListBullet"/>
      </w:pPr>
      <w:r>
        <w:rPr>
          <w:rFonts w:ascii="Arial" w:hAnsi="Arial"/>
          <w:sz w:val="22"/>
        </w:rPr>
        <w:t>Designed SQL reporting structures, historical retention schemas, and queryable data layers that made complex infrastructure telemetry easier to analyze and consume.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partitioning patterns, retention strategy, and reporting data models for performance, maintainability, and cost-aware access.</w:t>
      </w:r>
    </w:p>
    <w:p>
      <w:pPr>
        <w:pStyle w:val="ListBullet"/>
      </w:pPr>
      <w:r>
        <w:rPr>
          <w:rFonts w:ascii="Arial" w:hAnsi="Arial"/>
          <w:sz w:val="22"/>
        </w:rPr>
        <w:t>Documented pipeline logic, metric definitions, operational runbooks, data interpretation notes, and support steps to improve governance and production readiness.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processing,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