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Spark, Cloud Pipelines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across Python, SQL, Spark/PySpark, cloud data platforms, ETL/ELT pipelines, data quality validation, production support, observability, root cause analysis, and regulated enterprise data environments. Strong background building and operating production-grade pipelines, validation frameworks, monitoring workflows, curated reporting layers, and reliable data products for technical and business stakeholders. Best aligned to roles requiring batch/streaming-style data engineering, cloud-native pipeline delivery, data accuracy, completeness, freshness, reliability, and secure data handling; healthcare interoperability formats such as HL7, FHIR, CCDA, ADT, Epic, Cerner, HEDIS, and HCC are positioned as domain-adjacent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stakeholder decision-making.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production reporting workflows.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accuracy, completeness,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Instrumented production data workflows with monitoring, alerting concepts, troubleshooting checkpoints, operational runbooks, and review processes to improve reliability and issue detection.</w:t>
      </w:r>
    </w:p>
    <w:p>
      <w:pPr>
        <w:pStyle w:val="ListBullet"/>
      </w:pPr>
      <w:r>
        <w:rPr>
          <w:rFonts w:ascii="Arial" w:hAnsi="Arial"/>
          <w:sz w:val="22"/>
        </w:rPr>
        <w:t>Performed root cause analysis for data and reporting issues, coordinating with infrastructure, application, monitoring, and analytics teams to restore trust in business-facing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historical retention models for performance, maintainability, and cost-aware access.</w:t>
      </w:r>
    </w:p>
    <w:p>
      <w:pPr>
        <w:pStyle w:val="ListBullet"/>
      </w:pPr>
      <w:r>
        <w:rPr>
          <w:rFonts w:ascii="Arial" w:hAnsi="Arial"/>
          <w:sz w:val="22"/>
        </w:rPr>
        <w:t>Developed schema-aware reporting layers, dashboards, and curated datasets that supported executive capacity insights, forecasting workflows, and operational analytics.</w:t>
      </w:r>
    </w:p>
    <w:p>
      <w:pPr>
        <w:pStyle w:val="ListBullet"/>
      </w:pPr>
      <w:r>
        <w:rPr>
          <w:rFonts w:ascii="Arial" w:hAnsi="Arial"/>
          <w:sz w:val="22"/>
        </w:rPr>
        <w:t>Documented pipeline logic, metric definitions, validation assumptions, operational support steps, and data handling practices for regulated enterprise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troubleshooting, monitoring readiness, transaction visibility, and data/reporting needs during AWS cloud migration planning.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