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Glue, Redshift, SQL, Dimensional Modeling &amp; ETL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technology experience across AWS data platforms, Python, SQL, PySpark/Spark, AWS Glue, Redshift, ETL/ELT pipelines, data warehousing, dimensional modeling, SQL performance tuning, data quality, and production reporting systems. Strong background building scalable data workflows, curated reporting layers, validation checks, performance-oriented schemas, and stakeholder-facing analytics for regulated enterprise environments. Best aligned to AWS data engineering roles requiring Glue, Redshift, advanced SQL, data warehousing, dimensional modeling, ETL/ELT, data quality, governance, and reliable delivery; dbt, AWS CDK, Jinja, CodePipeline/CodeCommit, MWAA, Step Functions, Lambda, and CDC are positioned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forecasting workloads.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Developed Redshift- and Oracle-backed reporting layers with optimized SQL queries, historical retention models, schema discipline, indexes, views, and partition-aware design patterns.</w:t>
      </w:r>
    </w:p>
    <w:p>
      <w:pPr>
        <w:pStyle w:val="ListBullet"/>
      </w:pPr>
      <w:r>
        <w:rPr>
          <w:rFonts w:ascii="Arial" w:hAnsi="Arial"/>
          <w:sz w:val="22"/>
        </w:rPr>
        <w:t>Applied dimensional modeling concepts, metric definitions, curated reporting datasets, and stakeholder-ready data structures to make complex infrastructure telemetry easier to analyze and consume.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Refactored manual and legacy reporting workflows into repeatable ETL processes with documented extraction logic, validation checkpoints, transformation rules, and operational support steps.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and reporting data models for performance, maintainability,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and business stakeholders to translate requirements into production-ready data products, dashboards, and support documentation.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