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Python, PySpark, Spark SQL, AWS &amp; Data Governance</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Former Citi Senior Data Engineer with 20+ years of enterprise technology experience and strong hands-on background in Python, SQL, PySpark/Spark, ETL/ELT pipelines, AWS data platforms, Redshift, Oracle, data quality, governance-aware delivery, reporting, performance tuning, and production troubleshooting. Experienced building scalable telemetry and analytics pipelines, optimizing SQL and pipeline performance, documenting metadata and metric definitions, and supporting regulated enterprise reporting systems. Best aligned to Citi data engineering roles requiring Python, PySpark, Spark SQL, ETL/ELT, AWS/Redshift, data quality, governance, analytics pipelines, and stakeholder collaboration; Databricks, Delta Lake, Snowflake, Starburst/Trino, Apache Iceberg, and Ab Initio are positioned as adjacent or active-learning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Designed AWS-based data platform components using S3 landing zones, AWS Glue, Athena, Redshift, Oracle, SQL, and PySpark to support scalable transformation, querying, analytics, and downstream reporting workloads.</w:t>
      </w:r>
    </w:p>
    <w:p>
      <w:pPr>
        <w:pStyle w:val="ListBullet"/>
      </w:pPr>
      <w:r>
        <w:rPr>
          <w:rFonts w:ascii="Arial" w:hAnsi="Arial"/>
          <w:sz w:val="22"/>
        </w:rPr>
        <w:t>Developed Spark/PySpark and SQL-based transformation logic for large-scale telemetry processing, historical retention, schema-aware reporting, and performance-oriented analytics datasets.</w:t>
      </w:r>
    </w:p>
    <w:p>
      <w:pPr>
        <w:pStyle w:val="ListBullet"/>
      </w:pPr>
      <w:r>
        <w:rPr>
          <w:rFonts w:ascii="Arial" w:hAnsi="Arial"/>
          <w:sz w:val="22"/>
        </w:rPr>
        <w:t>Optimized SQL queries, Oracle schemas, Redshift-backed workloads, indexes, views, partitioning patterns, and reporting data models for performance, maintainability, and cost-aware processing.</w:t>
      </w:r>
    </w:p>
    <w:p>
      <w:pPr>
        <w:pStyle w:val="ListBullet"/>
      </w:pPr>
      <w:r>
        <w:rPr>
          <w:rFonts w:ascii="Arial" w:hAnsi="Arial"/>
          <w:sz w:val="22"/>
        </w:rPr>
        <w:t>Built data quality, reconciliation, and validation practices across BMC TrueSight, CA Wily, AppDynamics, Oracle, and AWS-backed reporting layers to improve consistency, completeness, and trust in pipeline outputs.</w:t>
      </w:r>
    </w:p>
    <w:p>
      <w:pPr>
        <w:pStyle w:val="ListBullet"/>
      </w:pPr>
      <w:r>
        <w:rPr>
          <w:rFonts w:ascii="Arial" w:hAnsi="Arial"/>
          <w:sz w:val="22"/>
        </w:rPr>
        <w:t>Supported governance-aware delivery by documenting metric definitions, data assumptions, lineage-style notes, operational runbooks, access considerations, and stakeholder-facing reporting logic.</w:t>
      </w:r>
    </w:p>
    <w:p>
      <w:pPr>
        <w:pStyle w:val="ListBullet"/>
      </w:pPr>
      <w:r>
        <w:rPr>
          <w:rFonts w:ascii="Arial" w:hAnsi="Arial"/>
          <w:sz w:val="22"/>
        </w:rPr>
        <w:t>Partnered with infrastructure, application, analytics, architecture, and business stakeholders to gather requirements, troubleshoot data issues, and deliver production-ready data products aligned to Citi standards.</w:t>
      </w:r>
    </w:p>
    <w:p>
      <w:pPr>
        <w:pStyle w:val="ListBullet"/>
      </w:pPr>
      <w:r>
        <w:rPr>
          <w:rFonts w:ascii="Arial" w:hAnsi="Arial"/>
          <w:sz w:val="22"/>
        </w:rPr>
        <w:t>Prepared model-ready and analytics-ready datasets supporting Prophet/scikit-learn forecasting workflows, capacity insights, and AI/ML-adjacent experimentation in a regulated banking environment.</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AWS cloud migration planning by evaluating monitoring readiness, transaction visibility, and data/reporting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reporting processes for telecom-scale transaction systems.</w:t>
      </w:r>
    </w:p>
    <w:p>
      <w:pPr>
        <w:pStyle w:val="ListBullet"/>
      </w:pPr>
      <w:r>
        <w:rPr>
          <w:rFonts w:ascii="Arial" w:hAnsi="Arial"/>
          <w:sz w:val="22"/>
        </w:rPr>
        <w:t>Worked with XML, SQL, Oracle, PL/SQL, messaging, and integration interfaces supporting billing, customer-management, and operational reporting workflows.</w:t>
      </w:r>
    </w:p>
    <w:p>
      <w:pPr>
        <w:pStyle w:val="ListBullet"/>
      </w:pPr>
      <w:r>
        <w:rPr>
          <w:rFonts w:ascii="Arial" w:hAnsi="Arial"/>
          <w:sz w:val="22"/>
        </w:rPr>
        <w:t>Improved database performance by 10x through SQL, sequence, and process optimization while reducing memory usage by 75%.</w:t>
      </w:r>
    </w:p>
    <w:p>
      <w:pPr>
        <w:pStyle w:val="ListBullet"/>
      </w:pPr>
      <w:r>
        <w:rPr>
          <w:rFonts w:ascii="Arial" w:hAnsi="Arial"/>
          <w:sz w:val="22"/>
        </w:rPr>
        <w:t>Built automation scripts in Korn shell, Perl, Awk, Syncsort, and SQL to support data extraction, transformation, reporting, deployments, and operational housekeeping.</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and reporting access.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JSON,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