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remote W2 contract role with Info Dinamica. The position aligns strongly with my background in AWS, Python, SQL, PySpark, Athena, Redshift, Hadoop/Spark, data lakes, data warehouses, Airflow-style orchestration, data quality, and production pipeline reliability.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validation, and stakeholder-facing reporting.</w:t>
      </w:r>
    </w:p>
    <w:p>
      <w:r>
        <w:rPr>
          <w:rFonts w:ascii="Arial" w:hAnsi="Arial"/>
          <w:sz w:val="22"/>
        </w:rPr>
        <w:t>Your role emphasizes Apache Spark/PySpark, Airflow orchestration, AWS Athena and Redshift, Hadoop, SQL over large structured and unstructured datasets, data lakes, data warehouses, CI/CD awareness, data quality frameworks, and reliable maintainable pipelines. My experience maps well through AWS-based data engineering, PySpark and SQL processing, SQL performance tuning, validation and reconciliation workflows, pipeline troubleshooting, documentation, and cross-functional delivery in enterprise environments.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Python, SQL, PySpark, and batch-oriented ETL. Kafka and Spark Structured Streaming are adjacent or active-learning areas for me rather than deep production ownership. Where I would bring immediate value is AWS/PySpark data engineering, Airflow-style orchestration thinking, Athena/Redshift SQL, data quality, production troubleshooting, and reliable delivery of scalable data pipelines.</w:t>
      </w:r>
    </w:p>
    <w:p>
      <w:r>
        <w:rPr>
          <w:rFonts w:ascii="Arial" w:hAnsi="Arial"/>
          <w:sz w:val="22"/>
        </w:rPr>
        <w:t>I would welcome the opportunity to discuss how my AWS, PySpark, SQL, Athena, Redshift, data quality, and pipeline reliability background can support Info Dinamica's remote data engineering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