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PySpark, AWS &amp; AI-Ready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AWS data platforms, Redshift, ETL/ELT pipelines, data warehousing, data quality, documentation, mentoring, telemetry analytics, and AI/ML-ready data workflows. Strong background building scalable data pipelines, curated reporting layers, validation checks, performance-tuned SQL, and operational documentation for regulated enterprise environments. Best aligned to senior data engineering roles requiring Spark/PySpark, SQL, Python, cloud data warehousing, ETL/ELT, data quality, collaboration, documentation, and AI/RAG-supporting data foundations; healthcare EHR/EMR, HL7/FHIR, Kafka/Flink, NiFi/Informatica/Fivetran, and LangChain/LlamaIndex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data-centric reporting and analytics applications using Python, SQL, Streamlit, matplotlib, seaborn, and plotly to surface capacity, performance, and trend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Prepared curated, model-ready datasets for Prophet and scikit-learn forecasting workflows, supporting AI/ML-adjacent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data flows, metric definitions, transformation rules, operational runbooks, support steps, and design notes to improve repeatability, source control discipline, and knowledge transfer.</w:t>
      </w:r>
    </w:p>
    <w:p>
      <w:pPr>
        <w:pStyle w:val="ListBullet"/>
      </w:pPr>
      <w:r>
        <w:rPr>
          <w:rFonts w:ascii="Arial" w:hAnsi="Arial"/>
          <w:sz w:val="22"/>
        </w:rPr>
        <w:t>Mentored and supported engineers and stakeholders by explaining pipeline behavior, troubleshooting production data issues, and creating reusable patterns for reporting, validation, and operational analysis.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RAG-style Retrieval,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