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Analytics / Forecasting Manager | Dashboards, KPIs, Capacity Planning &amp; Executive Insights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analytics, forecasting, and enterprise reporting professional with 20+ years of experience turning operational data into trusted dashboards, KPIs, forecasts, and executive-ready insights. Strong background building reporting logic, validating data quality, analyzing performance trends, identifying bottlenecks and root causes, and partnering with technical and business stakeholders to guide planning and decision-making. Best aligned to analytics leadership roles requiring dashboard ownership, KPI governance, trusted reporting, forecasting models, capacity planning, root-cause analysis, automation, self-service reporting, and clear communication; Growth, Marketing, Sales funnel analytics, demand generation, lead conversion, demo rates, and revenue funnel ownership are positioned as transferable business analytics areas rather than direct prior domain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enterprise dashboards and reporting workflows that transformed telemetry from 6,000+ infrastructure endpoints into trusted KPIs, forecasts, capacity views, and decision-support datasets.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stakeholders to translate operational questions into metrics, data requirements, reporting logic, and actionable insights.</w:t>
      </w:r>
    </w:p>
    <w:p>
      <w:pPr>
        <w:pStyle w:val="ListBullet"/>
      </w:pPr>
      <w:r>
        <w:rPr>
          <w:rFonts w:ascii="Arial" w:hAnsi="Arial"/>
          <w:sz w:val="22"/>
        </w:rPr>
        <w:t>Developed Python/Pandas/PySpark and SQL workflows to analyze performance trends, identify capacity constraints, surface risks, and support planning conversations with technical and senior stakeholders.</w:t>
      </w:r>
    </w:p>
    <w:p>
      <w:pPr>
        <w:pStyle w:val="ListBullet"/>
      </w:pPr>
      <w:r>
        <w:rPr>
          <w:rFonts w:ascii="Arial" w:hAnsi="Arial"/>
          <w:sz w:val="22"/>
        </w:rPr>
        <w:t>Built forecasting-ready datasets and models using Prophet, scikit-learn, Python, SQL, and telemetry data to support forward-looking capacity planning and risk discussions.</w:t>
      </w:r>
    </w:p>
    <w:p>
      <w:pPr>
        <w:pStyle w:val="ListBullet"/>
      </w:pPr>
      <w:r>
        <w:rPr>
          <w:rFonts w:ascii="Arial" w:hAnsi="Arial"/>
          <w:sz w:val="22"/>
        </w:rPr>
        <w:t>Created validation and reconciliation checks for row counts, nulls, duplicates, freshness, abnormal deltas, and output comparisons to ensure reporting was accurate, timely, and trusted.</w:t>
      </w:r>
    </w:p>
    <w:p>
      <w:pPr>
        <w:pStyle w:val="ListBullet"/>
      </w:pPr>
      <w:r>
        <w:rPr>
          <w:rFonts w:ascii="Arial" w:hAnsi="Arial"/>
          <w:sz w:val="22"/>
        </w:rPr>
        <w:t>Analyzed underperformance, bottlenecks, utilization patterns, and trend changes to identify root causes and recommend practical operational improvements.</w:t>
      </w:r>
    </w:p>
    <w:p>
      <w:pPr>
        <w:pStyle w:val="ListBullet"/>
      </w:pPr>
      <w:r>
        <w:rPr>
          <w:rFonts w:ascii="Arial" w:hAnsi="Arial"/>
          <w:sz w:val="22"/>
        </w:rPr>
        <w:t>Documented metric definitions, reporting logic, data flows, validation rules, runbooks, and stakeholder notes to improve transparency and repeatability.</w:t>
      </w:r>
    </w:p>
    <w:p>
      <w:pPr>
        <w:pStyle w:val="ListBullet"/>
      </w:pPr>
      <w:r>
        <w:rPr>
          <w:rFonts w:ascii="Arial" w:hAnsi="Arial"/>
          <w:sz w:val="22"/>
        </w:rPr>
        <w:t>Presented complex technical findings in clear business language, helping stakeholders understand trends, risks, tradeoffs, and recommended actions.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analyzing real-user and synthetic monitoring metrics to identify customer-impacting performance trends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Translated monitoring and performance data into actionable insights for business, application, and infrastructure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validate findings, document issues, and support practical improvements to customer-facing performance.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documentation used by support, infrastructure, application,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reporting workflows with repeatable analytics processes.</w:t>
      </w:r>
    </w:p>
    <w:p>
      <w:pPr>
        <w:pStyle w:val="ListBullet"/>
      </w:pPr>
      <w:r>
        <w:rPr>
          <w:rFonts w:ascii="Arial" w:hAnsi="Arial"/>
          <w:sz w:val="22"/>
        </w:rPr>
        <w:t>Provided training, onboarding, knowledge transfer, and stakeholder support to improve adoption of reporting and monitoring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validation and reporting analysis for a high-throughput shopping engine moving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Capacity Analytics Dashboarding</w:t>
      </w:r>
      <w:r>
        <w:rPr>
          <w:rFonts w:ascii="Arial" w:hAnsi="Arial"/>
          <w:sz w:val="22"/>
        </w:rPr>
        <w:br/>
        <w:t>Built stakeholder-facing dashboards and reporting datasets that translated infrastructure telemetry into capacity, performance, trend, and risk insights for business and technology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PySpark, Dashboards, Forecasting</w:t>
      </w:r>
    </w:p>
    <w:p>
      <w:r>
        <w:rPr>
          <w:rFonts w:ascii="Arial" w:hAnsi="Arial"/>
          <w:b/>
          <w:sz w:val="22"/>
        </w:rPr>
        <w:t>HorizonScale — Forecasting and Planning Engine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</w:t>
      </w:r>
    </w:p>
    <w:p>
      <w:r>
        <w:rPr>
          <w:rFonts w:ascii="Arial" w:hAnsi="Arial"/>
          <w:b/>
          <w:sz w:val="22"/>
        </w:rPr>
        <w:t>Production Data Quality and Reporting Controls</w:t>
      </w:r>
      <w:r>
        <w:rPr>
          <w:rFonts w:ascii="Arial" w:hAnsi="Arial"/>
          <w:sz w:val="22"/>
        </w:rPr>
        <w:br/>
        <w:t>Built validation and reconciliation workflows for reporting datasets, including row-count checks, null checks, missing feed diagnosis, unmatched join checks, and prior-run comparisons.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Reporting, RCA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Analyzed real-user and synthetic monitoring data to identify optimization opportunities and communicate actionable performance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