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Python Backend / Data Engineer | APIs, Production Systems, PySpark &amp; Microservices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Python backend/data engineering professional with 20+ years of enterprise technology experience across Python, SQL, API development and consumption, production system support, distributed data workflows, PySpark/Spark, microservices concepts, troubleshooting, documentation, and stakeholder collaboration. Strong background building and supporting reliable Python-driven workflows, integrating with internal systems and services, validating production outputs, debugging complex enterprise issues, and improving reliability of business-critical platforms. Best aligned to backend/data engineering roles requiring Python, API integration, production support, microservices architecture concepts, distributed systems, PySpark/Databricks exposure, and fast ramp-up into complex platforms; pricing-engine domain and pure application microservice ownership are positioned as transferable rather than overstated prior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Python/Pandas/PySpark and SQL workflows ingesting telemetry from 6,000+ infrastructure endpoints into curated datasets for analytics, reporting, forecasting, validation,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Developed Python-based data and platform workflows that integrated multiple internal systems, monitoring feeds, reporting layers, and warehouse-backed services into reliable business-facing outputs.</w:t>
      </w:r>
    </w:p>
    <w:p>
      <w:pPr>
        <w:pStyle w:val="ListBullet"/>
      </w:pPr>
      <w:r>
        <w:rPr>
          <w:rFonts w:ascii="Arial" w:hAnsi="Arial"/>
          <w:sz w:val="22"/>
        </w:rPr>
        <w:t>Consumed and integrated enterprise platform data from systems including BMC TrueSight, CA Wily/APM, AppDynamics, Oracle, AWS-backed reporting layers, and infrastructure telemetry sources.</w:t>
      </w:r>
    </w:p>
    <w:p>
      <w:pPr>
        <w:pStyle w:val="ListBullet"/>
      </w:pPr>
      <w:r>
        <w:rPr>
          <w:rFonts w:ascii="Arial" w:hAnsi="Arial"/>
          <w:sz w:val="22"/>
        </w:rPr>
        <w:t>Supported production systems by tracing failed outputs, source-feed behavior, Python processing, SQL transformations, API-style data integration issues,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Created validation and regression-style checks for row counts, nulls, duplicates, freshness, abnormal deltas, unmatched records, and output comparisons against trusted prior runs.</w:t>
      </w:r>
    </w:p>
    <w:p>
      <w:pPr>
        <w:pStyle w:val="ListBullet"/>
      </w:pPr>
      <w:r>
        <w:rPr>
          <w:rFonts w:ascii="Arial" w:hAnsi="Arial"/>
          <w:sz w:val="22"/>
        </w:rPr>
        <w:t>Used AWS S3, Glue, Athena, Redshift, EC2/ECS concepts, PySpark, and SQL to support scalable processing, cloud-oriented data workflows, and production reporting reliability.</w:t>
      </w:r>
    </w:p>
    <w:p>
      <w:pPr>
        <w:pStyle w:val="ListBullet"/>
      </w:pPr>
      <w:r>
        <w:rPr>
          <w:rFonts w:ascii="Arial" w:hAnsi="Arial"/>
          <w:sz w:val="22"/>
        </w:rPr>
        <w:t>Created runbooks, data flow notes, API/data integration notes, metric definitions, troubleshooting guides, and support procedures to improve maintainability and handoff.</w:t>
      </w:r>
    </w:p>
    <w:p>
      <w:pPr>
        <w:pStyle w:val="ListBullet"/>
      </w:pPr>
      <w:r>
        <w:rPr>
          <w:rFonts w:ascii="Arial" w:hAnsi="Arial"/>
          <w:sz w:val="22"/>
        </w:rPr>
        <w:t>Partnered with application, infrastructure, analytics, engineering, and business stakeholders to clarify requirements, prioritize fixes, explain system behavior, and deliver improvements under production pressure.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Supported production-facing Brand.com and hospitality platforms using Dynatrace AppMon, Gomez Synthetic Monitoring, and HP Performance Center integration.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behavior, transaction patterns, monitoring signals, and production-like symptoms to identify reliability and performance issues.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and transaction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platform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application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to application, middleware, infrastructure, and operations teams using CA APM/Introscope telemetry, dashboards, alerts, and transaction visibility.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operational processes.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support procedures, onboarding material, dashboard standards, alert thresholds, and troubleshooting notes used by multiple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SQL/JDBC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production-readiness testing.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performance metrics,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production-readiness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phased cutover, troubleshooting, documentation, and defect resolution for a mission-critical enterprise transaction platform.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FastAPI service layers, Pydantic request/response contracts, Docker-first smoke tests, deterministic API endpoints, and testable service behavior.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REST API Concepts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troubleshooting workflows for production reporting datasets, including row-count checks, missing feed diagnosis, unmatched join checks, prior-run comparisons, and documented recovery steps.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Oracle, Data Validation, RCA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with validation checkpoints, SQL quality checks, and curated analytics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SQL</w:t>
      </w:r>
    </w:p>
    <w:p>
      <w:r>
        <w:rPr>
          <w:rFonts w:ascii="Arial" w:hAnsi="Arial"/>
          <w:b/>
          <w:sz w:val="22"/>
        </w:rPr>
        <w:t>High-Throughput Oracle RAC Migration</w:t>
      </w:r>
      <w:r>
        <w:rPr>
          <w:rFonts w:ascii="Arial" w:hAnsi="Arial"/>
          <w:sz w:val="22"/>
        </w:rPr>
        <w:br/>
        <w:t>Led validation and production-readiness support for migration from 200+ MySQL nodes to a 6-node Oracle RAC platform, using C++/OCCI/OCI validation utilities and SQL optimization to preserve transaction correctness and performance.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OCCI, OCI, Oracle RAC, MySQL, SQL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