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AI-driven data pipelines and cloud technologies like AWS for scalable solutions. Proficient in Python, SQL, and Generative AI, I excel in integrating structured and unstructured data for innovative applications, including Retrieval-Augmented Generation (RAG) architectures. My expertise spans Big Data, ETL/ELT processes, and data lakes, ensuring reliability and scalability in complex systems. I have a proven track record in designing serverless architectures and implementing AI solutions for capacity forecasting and optimization. Passionate about mentoring teams and driving data governance, I am eager to contribute to TheHartford’s mission of shaping the future of insurance through cutting-edge AI and data engineering. My hands-on experience with vector databases and deep learning frameworks positions me to deliver impactful agentic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dashboards.</w:t>
      </w:r>
    </w:p>
    <w:p>
      <w:pPr>
        <w:pStyle w:val="ListBullet"/>
      </w:pPr>
      <w:r>
        <w:rPr>
          <w:rFonts w:ascii="Arial" w:hAnsi="Arial"/>
          <w:sz w:val="22"/>
        </w:rPr>
        <w:t>Built automated data pipelines for capacity metrics, ensuring scalability and reliability.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ML to identify underutilized infrastructure, driving cost-saving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 monitoring.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and supported cloud migration to AWS with enhanced security (TLS1.2).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 for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performance optimization.</w:t>
      </w:r>
    </w:p>
    <w:p>
      <w:pPr>
        <w:pStyle w:val="ListBullet"/>
      </w:pPr>
      <w:r>
        <w:rPr>
          <w:rFonts w:ascii="Arial" w:hAnsi="Arial"/>
          <w:sz w:val="22"/>
        </w:rPr>
        <w:t>Resolved bottlenecks in J2EE/.NET environments through detailed analysis.</w:t>
      </w:r>
    </w:p>
    <w:p>
      <w:pPr>
        <w:pStyle w:val="ListBullet"/>
      </w:pPr>
      <w:r>
        <w:rPr>
          <w:rFonts w:ascii="Arial" w:hAnsi="Arial"/>
          <w:sz w:val="22"/>
        </w:rPr>
        <w:t>Supported installation of POWER PACKS and customized agent configurations.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enhance system performance.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 monitoring, Thread Dumps, and Wily Introscope for performance tracking.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processes.</w:t>
      </w:r>
    </w:p>
    <w:p>
      <w:pPr>
        <w:pStyle w:val="ListBullet"/>
      </w:pPr>
      <w:r>
        <w:rPr>
          <w:rFonts w:ascii="Arial" w:hAnsi="Arial"/>
          <w:sz w:val="22"/>
        </w:rPr>
        <w:t>Ensured scalability and performance for a system handling 10x VISA’s transaction throughput.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system.</w:t>
      </w:r>
    </w:p>
    <w:p>
      <w:pPr>
        <w:pStyle w:val="ListBullet"/>
      </w:pPr>
      <w:r>
        <w:rPr>
          <w:rFonts w:ascii="Arial" w:hAnsi="Arial"/>
          <w:sz w:val="22"/>
        </w:rPr>
        <w:t>Developed modules for IRS modernization initiatives.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using VC++ and DB2 integration.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10x DB performance.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interfaces with UML in Rational Rose, incorporating design patterns.</w:t>
      </w:r>
    </w:p>
    <w:p>
      <w:pPr>
        <w:pStyle w:val="ListBullet"/>
      </w:pPr>
      <w:r>
        <w:rPr>
          <w:rFonts w:ascii="Arial" w:hAnsi="Arial"/>
          <w:sz w:val="22"/>
        </w:rPr>
        <w:t>Troubleshot Enabler/CSM/EMS modules and supported production environments.</w:t>
      </w:r>
    </w:p>
    <w:p>
      <w:pPr>
        <w:pStyle w:val="ListBullet"/>
      </w:pPr>
      <w:r>
        <w:rPr>
          <w:rFonts w:ascii="Arial" w:hAnsi="Arial"/>
          <w:sz w:val="22"/>
        </w:rPr>
        <w:t>Implemented database fixes and performance optimizations for critical systems.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as part of the Lab Support team.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GenAI / LLM Agents, PySpark, ETL Design &amp; Optimization, Data Warehousing, Docker, Prophet / Time-Series Forecasting, Pandas, scikit-learn, Hive/Hadoop, Capacity Planning / Forecasting, Streamlit, Airflow, C++, Perl, Ksh / Korn Shell Scripting, Java, PL/SQL, Dynatrace (AppMon + Synthetics), CA APM / Introscope, BMC TrueSight / TSCO, Oracle RAC, Multiprocessing, Git,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Repository includes code, documentation, and AI reasoning/RAG specs.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