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Arial" w:hAnsi="Arial"/>
          <w:b/>
          <w:sz w:val="32"/>
        </w:rPr>
        <w:t>Sean Luka Girgis</w:t>
      </w:r>
    </w:p>
    <w:p>
      <w:pPr>
        <w:jc w:val="center"/>
      </w:pPr>
      <w:r>
        <w:rPr>
          <w:rFonts w:ascii="Arial" w:hAnsi="Arial"/>
          <w:sz w:val="22"/>
        </w:rPr>
        <w:t>Dynatrace Observability Engineer | APM, RUM, Synthetics &amp; Telemetry Automation</w:t>
      </w:r>
    </w:p>
    <w:p>
      <w:pPr>
        <w:jc w:val="center"/>
      </w:pPr>
      <w:r>
        <w:rPr>
          <w:rFonts w:ascii="Arial" w:hAnsi="Arial"/>
          <w:sz w:val="22"/>
        </w:rPr>
        <w:t>214-315-2190 | seanlgirgis@gmail.com</w:t>
      </w:r>
    </w:p>
    <w:p>
      <w:pPr>
        <w:spacing w:before="0" w:after="120"/>
        <w:jc w:val="center"/>
      </w:pPr>
      <w:hyperlink r:id="rId9">
        <w:r>
          <w:rPr>
            <w:color w:val="0000FF"/>
            <w:u w:val="single"/>
          </w:rPr>
          <w:t>LinkedIn</w:t>
        </w:r>
      </w:hyperlink>
      <w:r>
        <w:rPr>
          <w:rFonts w:ascii="Arial" w:hAnsi="Arial"/>
          <w:sz w:val="22"/>
        </w:rPr>
        <w:t xml:space="preserve"> | </w:t>
      </w:r>
      <w:hyperlink r:id="rId10">
        <w:r>
          <w:rPr>
            <w:color w:val="0000FF"/>
            <w:u w:val="single"/>
          </w:rPr>
          <w:t>GitHub</w:t>
        </w:r>
      </w:hyperlink>
      <w:r>
        <w:rPr>
          <w:rFonts w:ascii="Arial" w:hAnsi="Arial"/>
          <w:sz w:val="22"/>
        </w:rPr>
        <w:t xml:space="preserve"> | </w:t>
      </w:r>
      <w:hyperlink r:id="rId11">
        <w:r>
          <w:rPr>
            <w:color w:val="0000FF"/>
            <w:u w:val="single"/>
          </w:rPr>
          <w:t>Portfolio</w:t>
        </w:r>
      </w:hyperlink>
    </w:p>
    <w:p>
      <w:pPr>
        <w:pStyle w:val="Heading1"/>
      </w:pPr>
      <w:r>
        <w:rPr>
          <w:rFonts w:ascii="Arial" w:hAnsi="Arial"/>
          <w:sz w:val="26"/>
        </w:rPr>
        <w:t>Professional Summary</w:t>
      </w:r>
    </w:p>
    <w:p>
      <w:r>
        <w:rPr>
          <w:rFonts w:ascii="Arial" w:hAnsi="Arial"/>
          <w:sz w:val="22"/>
        </w:rPr>
        <w:t>Dynatrace Observability Engineer with deep experience in enterprise APM, synthetic monitoring, RUM/EUM, transaction tracing, telemetry pipelines, dashboards, alerts, operational reporting, and performance analysis across large-scale distributed environments. Skilled in Dynatrace AppMon/Synthetics, BMC TrueSight/TSCO, CA APM/Introscope, AppDynamics, Python scripting, shell automation, and monitoring data integration. Experienced supporting application monitoring onboarding, improving operational visibility, reducing manual reporting, and enabling proactive observability workflows.</w:t>
      </w:r>
    </w:p>
    <w:p>
      <w:pPr>
        <w:pStyle w:val="Heading1"/>
      </w:pPr>
      <w:r>
        <w:rPr>
          <w:rFonts w:ascii="Arial" w:hAnsi="Arial"/>
          <w:sz w:val="26"/>
        </w:rPr>
        <w:t>Professional Experience</w:t>
      </w:r>
    </w:p>
    <w:p>
      <w:r>
        <w:rPr>
          <w:rFonts w:ascii="Arial" w:hAnsi="Arial"/>
          <w:b/>
          <w:sz w:val="22"/>
        </w:rPr>
        <w:t>Senior Capacity &amp; Data Engineer at CITI</w:t>
      </w:r>
      <w:r>
        <w:rPr>
          <w:rFonts w:ascii="Arial" w:hAnsi="Arial"/>
          <w:sz w:val="22"/>
        </w:rPr>
        <w:t xml:space="preserve"> (2017-11 – 2025-12)</w:t>
      </w:r>
    </w:p>
    <w:p>
      <w:pPr>
        <w:pStyle w:val="ListBullet"/>
      </w:pPr>
      <w:r>
        <w:rPr>
          <w:rFonts w:ascii="Arial" w:hAnsi="Arial"/>
          <w:sz w:val="22"/>
        </w:rPr>
        <w:t>Built automated telemetry ingestion and ETL pipelines with Python/Pandas for more than 6,000 monitored endpoints using BMC TrueSight/TSCO.</w:t>
      </w:r>
    </w:p>
    <w:p>
      <w:pPr>
        <w:pStyle w:val="ListBullet"/>
      </w:pPr>
      <w:r>
        <w:rPr>
          <w:rFonts w:ascii="Arial" w:hAnsi="Arial"/>
          <w:sz w:val="22"/>
        </w:rPr>
        <w:t>Integrated monitoring feeds from TrueSight, CA Wily, and AppDynamics into unified operational reporting, dashboarding, and observability platforms.</w:t>
      </w:r>
    </w:p>
    <w:p>
      <w:pPr>
        <w:pStyle w:val="ListBullet"/>
      </w:pPr>
      <w:r>
        <w:rPr>
          <w:rFonts w:ascii="Arial" w:hAnsi="Arial"/>
          <w:sz w:val="22"/>
        </w:rPr>
        <w:t>Created interactive dashboards with Streamlit, matplotlib, seaborn, and plotly for real-time capacity insights, telemetry reporting, and operational visibility.</w:t>
      </w:r>
    </w:p>
    <w:p>
      <w:pPr>
        <w:pStyle w:val="ListBullet"/>
      </w:pPr>
      <w:r>
        <w:rPr>
          <w:rFonts w:ascii="Arial" w:hAnsi="Arial"/>
          <w:sz w:val="22"/>
        </w:rPr>
        <w:t>Developed telemetry analysis and forecasting workflows supporting proactive infrastructure monitoring, capacity planning, and performance analysis.</w:t>
      </w:r>
    </w:p>
    <w:p>
      <w:pPr>
        <w:pStyle w:val="ListBullet"/>
      </w:pPr>
      <w:r>
        <w:rPr>
          <w:rFonts w:ascii="Arial" w:hAnsi="Arial"/>
          <w:sz w:val="22"/>
        </w:rPr>
        <w:t>Built hybrid AWS/Oracle telemetry platforms using S3, Glue, and Redshift for scalable operational reporting and monitoring data processing.</w:t>
      </w:r>
    </w:p>
    <w:p>
      <w:pPr>
        <w:pStyle w:val="ListBullet"/>
      </w:pPr>
      <w:r>
        <w:rPr>
          <w:rFonts w:ascii="Arial" w:hAnsi="Arial"/>
          <w:sz w:val="22"/>
        </w:rPr>
        <w:t>Automated reporting workflows to reduce manual effort and improve reliability across enterprise monitoring and capacity processes.</w:t>
      </w:r>
    </w:p>
    <w:p>
      <w:r>
        <w:rPr>
          <w:rFonts w:ascii="Arial" w:hAnsi="Arial"/>
          <w:b/>
          <w:sz w:val="22"/>
        </w:rPr>
        <w:t>Performance Engineer at G6 Hospitality LLC</w:t>
      </w:r>
      <w:r>
        <w:rPr>
          <w:rFonts w:ascii="Arial" w:hAnsi="Arial"/>
          <w:sz w:val="22"/>
        </w:rPr>
        <w:t xml:space="preserve"> (2017-03 – 2017-11)</w:t>
      </w:r>
    </w:p>
    <w:p>
      <w:pPr>
        <w:pStyle w:val="ListBullet"/>
      </w:pPr>
      <w:r>
        <w:rPr>
          <w:rFonts w:ascii="Arial" w:hAnsi="Arial"/>
          <w:sz w:val="22"/>
        </w:rPr>
        <w:t>Managed Dynatrace AppMon and Synthetic Monitoring administration for Brand.com and critical hospitality production systems.</w:t>
      </w:r>
    </w:p>
    <w:p>
      <w:pPr>
        <w:pStyle w:val="ListBullet"/>
      </w:pPr>
      <w:r>
        <w:rPr>
          <w:rFonts w:ascii="Arial" w:hAnsi="Arial"/>
          <w:sz w:val="22"/>
        </w:rPr>
        <w:t>Implemented End-User Monitoring (EUM), transaction tracing, dependency visibility, and synthetic monitoring across web and mobile platforms.</w:t>
      </w:r>
    </w:p>
    <w:p>
      <w:pPr>
        <w:pStyle w:val="ListBullet"/>
      </w:pPr>
      <w:r>
        <w:rPr>
          <w:rFonts w:ascii="Arial" w:hAnsi="Arial"/>
          <w:sz w:val="22"/>
        </w:rPr>
        <w:t>Led FAST project, data-mining real-user performance metrics from Gomez Synthetic Monitoring to identify optimization opportunities for engineering teams.</w:t>
      </w:r>
    </w:p>
    <w:p>
      <w:pPr>
        <w:pStyle w:val="ListBullet"/>
      </w:pPr>
      <w:r>
        <w:rPr>
          <w:rFonts w:ascii="Arial" w:hAnsi="Arial"/>
          <w:sz w:val="22"/>
        </w:rPr>
        <w:t>Upgraded Dynatrace from 6.5 to 7.0 with TLS 1.2 security enforcement and zero regression in production monitoring.</w:t>
      </w:r>
    </w:p>
    <w:p>
      <w:pPr>
        <w:pStyle w:val="ListBullet"/>
      </w:pPr>
      <w:r>
        <w:rPr>
          <w:rFonts w:ascii="Arial" w:hAnsi="Arial"/>
          <w:sz w:val="22"/>
        </w:rPr>
        <w:t>Integrated HP Performance Center with Dynatrace for unified load-test correlation, APM visibility, and performance analysis.</w:t>
      </w:r>
    </w:p>
    <w:p>
      <w:r>
        <w:rPr>
          <w:rFonts w:ascii="Arial" w:hAnsi="Arial"/>
          <w:b/>
          <w:sz w:val="22"/>
        </w:rPr>
        <w:t>SME for CA APM (Senior Consultant) at CA Technologies/ TIAA-CREF</w:t>
      </w:r>
      <w:r>
        <w:rPr>
          <w:rFonts w:ascii="Arial" w:hAnsi="Arial"/>
          <w:sz w:val="22"/>
        </w:rPr>
        <w:t xml:space="preserve"> (2011 – 2016)</w:t>
      </w:r>
    </w:p>
    <w:p>
      <w:pPr>
        <w:pStyle w:val="ListBullet"/>
      </w:pPr>
      <w:r>
        <w:rPr>
          <w:rFonts w:ascii="Arial" w:hAnsi="Arial"/>
          <w:sz w:val="22"/>
        </w:rPr>
        <w:t>Managed CA APM for TIAA-CREF, overseeing 50+ Enterprise Managers and 4,000–6,000 instrumented agents enterprise-wide.</w:t>
      </w:r>
    </w:p>
    <w:p>
      <w:pPr>
        <w:pStyle w:val="ListBullet"/>
      </w:pPr>
      <w:r>
        <w:rPr>
          <w:rFonts w:ascii="Arial" w:hAnsi="Arial"/>
          <w:sz w:val="22"/>
        </w:rPr>
        <w:t>Led CA APM upgrades from 9.1 to 10.1 with zero unplanned downtime, coordinating cross-functional IT teams.</w:t>
      </w:r>
    </w:p>
    <w:p>
      <w:pPr>
        <w:pStyle w:val="ListBullet"/>
      </w:pPr>
      <w:r>
        <w:rPr>
          <w:rFonts w:ascii="Arial" w:hAnsi="Arial"/>
          <w:sz w:val="22"/>
        </w:rPr>
        <w:t>Designed custom Management Modules for dashboards, alerts, SLA thresholds, and enterprise monitoring standards.</w:t>
      </w:r>
    </w:p>
    <w:p>
      <w:pPr>
        <w:pStyle w:val="ListBullet"/>
      </w:pPr>
      <w:r>
        <w:rPr>
          <w:rFonts w:ascii="Arial" w:hAnsi="Arial"/>
          <w:sz w:val="22"/>
        </w:rPr>
        <w:t>Built Perl/Ksh scripts for automated telemetry extraction and performance reporting, replacing manual reporting processes.</w:t>
      </w:r>
    </w:p>
    <w:p>
      <w:pPr>
        <w:pStyle w:val="ListBullet"/>
      </w:pPr>
      <w:r>
        <w:rPr>
          <w:rFonts w:ascii="Arial" w:hAnsi="Arial"/>
          <w:sz w:val="22"/>
        </w:rPr>
        <w:t>Collaborated with J2EE/WebLogic teams to resolve performance bottlenecks using APM telemetry insights and monitoring data.</w:t>
      </w:r>
    </w:p>
    <w:p>
      <w:pPr>
        <w:pStyle w:val="Heading1"/>
      </w:pPr>
      <w:r>
        <w:rPr>
          <w:rFonts w:ascii="Arial" w:hAnsi="Arial"/>
          <w:sz w:val="26"/>
        </w:rPr>
        <w:t>Education</w:t>
      </w:r>
    </w:p>
    <w:p>
      <w:r>
        <w:rPr>
          <w:rFonts w:ascii="Arial" w:hAnsi="Arial"/>
          <w:b/>
          <w:sz w:val="22"/>
        </w:rPr>
        <w:t>High Diploma / Post-Graduate Diploma in Computer Engineering Technology / Computer Science</w:t>
      </w:r>
      <w:r>
        <w:rPr>
          <w:rFonts w:ascii="Arial" w:hAnsi="Arial"/>
          <w:sz w:val="22"/>
        </w:rPr>
        <w:br/>
        <w:t>Humber College, Toronto, Canada</w:t>
      </w:r>
    </w:p>
    <w:p>
      <w:r>
        <w:rPr>
          <w:rFonts w:ascii="Arial" w:hAnsi="Arial"/>
          <w:b/>
          <w:sz w:val="22"/>
        </w:rPr>
        <w:t>Bachelor of Science in Civil Engineering</w:t>
      </w:r>
      <w:r>
        <w:rPr>
          <w:rFonts w:ascii="Arial" w:hAnsi="Arial"/>
          <w:sz w:val="22"/>
        </w:rPr>
        <w:br/>
        <w:t>Zagazig University, Egypt / Cairo, Egypt</w:t>
      </w:r>
    </w:p>
    <w:p>
      <w:pPr>
        <w:pStyle w:val="Heading1"/>
      </w:pPr>
      <w:r>
        <w:rPr>
          <w:rFonts w:ascii="Arial" w:hAnsi="Arial"/>
          <w:sz w:val="26"/>
        </w:rPr>
        <w:t>Skills</w:t>
      </w:r>
    </w:p>
    <w:p>
      <w:r>
        <w:rPr>
          <w:rFonts w:ascii="Arial" w:hAnsi="Arial"/>
          <w:b/>
          <w:sz w:val="22"/>
        </w:rPr>
        <w:t xml:space="preserve">Languages: </w:t>
      </w:r>
      <w:r>
        <w:rPr>
          <w:rFonts w:ascii="Arial" w:hAnsi="Arial"/>
          <w:sz w:val="22"/>
        </w:rPr>
        <w:t>Python, SQL, Perl, Ksh / Korn Shell Scripting</w:t>
      </w:r>
    </w:p>
    <w:p>
      <w:r>
        <w:rPr>
          <w:rFonts w:ascii="Arial" w:hAnsi="Arial"/>
          <w:b/>
          <w:sz w:val="22"/>
        </w:rPr>
        <w:t xml:space="preserve">Cloud &amp; Data: </w:t>
      </w:r>
      <w:r>
        <w:rPr>
          <w:rFonts w:ascii="Arial" w:hAnsi="Arial"/>
          <w:sz w:val="22"/>
        </w:rPr>
        <w:t>AWS (Glue, Athena, S3, Redshift), PySpark, Apache Spark, Hive/Hadoop, Data Warehousing, ETL Design &amp; Optimization</w:t>
      </w:r>
    </w:p>
    <w:p>
      <w:r>
        <w:rPr>
          <w:rFonts w:ascii="Arial" w:hAnsi="Arial"/>
          <w:b/>
          <w:sz w:val="22"/>
        </w:rPr>
        <w:t xml:space="preserve">AI/ML: </w:t>
      </w:r>
      <w:r>
        <w:rPr>
          <w:rFonts w:ascii="Arial" w:hAnsi="Arial"/>
          <w:sz w:val="22"/>
        </w:rPr>
        <w:t>Capacity Forecasting, Prophet, scikit-learn, Telemetry Analysis</w:t>
      </w:r>
    </w:p>
    <w:p>
      <w:r>
        <w:rPr>
          <w:rFonts w:ascii="Arial" w:hAnsi="Arial"/>
          <w:b/>
          <w:sz w:val="22"/>
        </w:rPr>
        <w:t xml:space="preserve">Tools &amp; Infra: </w:t>
      </w:r>
      <w:r>
        <w:rPr>
          <w:rFonts w:ascii="Arial" w:hAnsi="Arial"/>
          <w:sz w:val="22"/>
        </w:rPr>
        <w:t>Dynatrace (AppMon, Synthetics, EUM/RUM, Transaction Tracing), BMC TrueSight / TSCO, CA APM / Introscope, AppDynamics, Docker, Git, Airflow, Streamlit, Linux/Unix</w:t>
      </w:r>
    </w:p>
    <w:p>
      <w:r>
        <w:rPr>
          <w:rFonts w:ascii="Arial" w:hAnsi="Arial"/>
          <w:b/>
          <w:sz w:val="22"/>
        </w:rPr>
        <w:t xml:space="preserve">Legacy: </w:t>
      </w:r>
      <w:r>
        <w:rPr>
          <w:rFonts w:ascii="Arial" w:hAnsi="Arial"/>
          <w:sz w:val="22"/>
        </w:rPr>
        <w:t>C++, Java, PL/SQL, Oracle RAC, WebLogic / WebSphere, VB6 / VC++</w:t>
      </w:r>
    </w:p>
    <w:p>
      <w:pPr>
        <w:pStyle w:val="Heading1"/>
      </w:pPr>
      <w:r>
        <w:rPr>
          <w:rFonts w:ascii="Arial" w:hAnsi="Arial"/>
          <w:sz w:val="26"/>
        </w:rPr>
        <w:t>Flagship Projects</w:t>
      </w:r>
    </w:p>
    <w:p>
      <w:r>
        <w:rPr>
          <w:rFonts w:ascii="Arial" w:hAnsi="Arial"/>
          <w:b/>
          <w:sz w:val="22"/>
        </w:rPr>
        <w:t>FAST Project</w:t>
      </w:r>
      <w:r>
        <w:rPr>
          <w:rFonts w:ascii="Arial" w:hAnsi="Arial"/>
          <w:sz w:val="22"/>
        </w:rPr>
        <w:br/>
        <w:t>Data-mined real-user performance metrics with Dynatrace and Gomez Synthetic Monitoring to optimize critical systems, improve APM visibility, and provide actionable observability insights for engineering teams.</w:t>
      </w:r>
      <w:r>
        <w:rPr>
          <w:rFonts w:ascii="Arial" w:hAnsi="Arial"/>
          <w:sz w:val="22"/>
        </w:rPr>
        <w:br/>
      </w:r>
      <w:r>
        <w:rPr>
          <w:rFonts w:ascii="Arial" w:hAnsi="Arial"/>
          <w:b/>
          <w:sz w:val="22"/>
        </w:rPr>
        <w:t xml:space="preserve">Technologies: </w:t>
      </w:r>
      <w:r>
        <w:rPr>
          <w:rFonts w:ascii="Arial" w:hAnsi="Arial"/>
          <w:sz w:val="22"/>
        </w:rPr>
        <w:t>Dynatrace, Gomez Synthetic Monitoring, Data Mining, Telemetry Analysis</w:t>
      </w:r>
    </w:p>
    <w:p>
      <w:r>
        <w:rPr>
          <w:rFonts w:ascii="Arial" w:hAnsi="Arial"/>
          <w:b/>
          <w:sz w:val="22"/>
        </w:rPr>
        <w:t>HorizonScale — Capacity &amp; Telemetry Analytics Engine</w:t>
      </w:r>
      <w:r>
        <w:rPr>
          <w:rFonts w:ascii="Arial" w:hAnsi="Arial"/>
          <w:sz w:val="22"/>
        </w:rPr>
        <w:br/>
        <w:t>Developed telemetry analytics and forecasting workflows with Python and PySpark, reducing forecasting cycles by 90% while improving operational visibility through interactive dashboards.</w:t>
      </w:r>
      <w:r>
        <w:rPr>
          <w:rFonts w:ascii="Arial" w:hAnsi="Arial"/>
          <w:sz w:val="22"/>
        </w:rPr>
        <w:br/>
      </w:r>
      <w:r>
        <w:rPr>
          <w:rFonts w:ascii="Arial" w:hAnsi="Arial"/>
          <w:b/>
          <w:sz w:val="22"/>
        </w:rPr>
        <w:t xml:space="preserve">Technologies: </w:t>
      </w:r>
      <w:r>
        <w:rPr>
          <w:rFonts w:ascii="Arial" w:hAnsi="Arial"/>
          <w:sz w:val="22"/>
        </w:rPr>
        <w:t>Python, PySpark, Prophet, scikit-learn, Streamlit</w:t>
      </w:r>
    </w:p>
    <w:p>
      <w:r>
        <w:rPr>
          <w:rFonts w:ascii="Arial" w:hAnsi="Arial"/>
          <w:b/>
          <w:sz w:val="22"/>
        </w:rPr>
        <w:t>Serverless Lakehouse Platform (AWS)</w:t>
      </w:r>
      <w:r>
        <w:rPr>
          <w:rFonts w:ascii="Arial" w:hAnsi="Arial"/>
          <w:sz w:val="22"/>
        </w:rPr>
        <w:br/>
        <w:t>Designed a serverless AWS data platform with S3, Glue, Athena, and Redshift patterns supporting scalable telemetry processing, reporting, and analytics workloads.</w:t>
      </w:r>
      <w:r>
        <w:rPr>
          <w:rFonts w:ascii="Arial" w:hAnsi="Arial"/>
          <w:sz w:val="22"/>
        </w:rPr>
        <w:br/>
      </w:r>
      <w:r>
        <w:rPr>
          <w:rFonts w:ascii="Arial" w:hAnsi="Arial"/>
          <w:b/>
          <w:sz w:val="22"/>
        </w:rPr>
        <w:t xml:space="preserve">Technologies: </w:t>
      </w:r>
      <w:r>
        <w:rPr>
          <w:rFonts w:ascii="Arial" w:hAnsi="Arial"/>
          <w:sz w:val="22"/>
        </w:rPr>
        <w:t>AWS Glue, Athena, S3, Redshift, PySpark</w:t>
      </w:r>
    </w:p>
    <w:sectPr w:rsidR="00FC693F" w:rsidRPr="0006063C" w:rsidSect="00034616">
      <w:pgSz w:w="12240" w:h="15840"/>
      <w:pgMar w:top="720" w:right="864" w:bottom="720" w:left="86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yperlink" Target="https://www.linkedin.com/in/sean-girgis-43bb1b5/" TargetMode="External"/><Relationship Id="rId10" Type="http://schemas.openxmlformats.org/officeDocument/2006/relationships/hyperlink" Target="https://github.com/seanlgirgis" TargetMode="External"/><Relationship Id="rId11" Type="http://schemas.openxmlformats.org/officeDocument/2006/relationships/hyperlink" Target="https://seanlgirgis.github.io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