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(Dallas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4, 2026</w:t>
        <w:br/>
        <w:br/>
      </w:r>
    </w:p>
    <w:p>
      <w:r>
        <w:rPr>
          <w:rFonts w:ascii="Arial" w:hAnsi="Arial"/>
          <w:sz w:val="22"/>
        </w:rPr>
        <w:t>Dear Hiring Team,</w:t>
      </w:r>
    </w:p>
    <w:p>
      <w:r>
        <w:rPr>
          <w:rFonts w:ascii="Arial" w:hAnsi="Arial"/>
          <w:sz w:val="22"/>
        </w:rPr>
        <w:t>I am excited to apply for the Dynatrace role in Riyadh. This opportunity aligns strongly with my background in observability, enterprise stakeholder engagement, and performance-driven platform outcomes, and I am fully comfortable operating in both Arabic and English.</w:t>
      </w:r>
    </w:p>
    <w:p>
      <w:r>
        <w:rPr>
          <w:rFonts w:ascii="Arial" w:hAnsi="Arial"/>
          <w:sz w:val="22"/>
        </w:rPr>
        <w:t>Across enterprise environments, I have consistently partnered with technical teams and senior business stakeholders to translate complex platform telemetry into clear priorities and measurable outcomes. In my recent role at CITI, I worked across infrastructure and application domains to improve reliability, planning, and operational execution at large scale.</w:t>
      </w:r>
    </w:p>
    <w:p>
      <w:r>
        <w:rPr>
          <w:rFonts w:ascii="Arial" w:hAnsi="Arial"/>
          <w:sz w:val="22"/>
        </w:rPr>
        <w:t>I also bring direct Dynatrace experience from G6 Hospitality, where I managed Dynatrace AppMon and synthetic monitoring for customer-facing systems, supported cloud migration efforts, and delivered insights that guided high-impact optimization initiatives. Earlier consulting work as an APM SME further strengthened my ability to lead technical discussions, align cross-functional teams, and drive adoption in complex organizations.</w:t>
      </w:r>
    </w:p>
    <w:p>
      <w:r>
        <w:rPr>
          <w:rFonts w:ascii="Arial" w:hAnsi="Arial"/>
          <w:sz w:val="22"/>
        </w:rPr>
        <w:t>Dynatrace's land-and-expand model and enterprise customer focus in KSA are highly compelling to me. I am motivated to help grow strategic accounts, build trusted executive relationships, and support successful customer outcomes while expanding Dynatrace adoption in the region.</w:t>
      </w:r>
    </w:p>
    <w:p>
      <w:r>
        <w:rPr>
          <w:rFonts w:ascii="Arial" w:hAnsi="Arial"/>
          <w:sz w:val="22"/>
        </w:rPr>
        <w:t>I would welcome the opportunity to contribute my observability and enterprise engagement experience to Dynatrace's continued growth in Saudi Arabia.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